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18"/>
        <w:tblLayout w:type="fixed"/>
        <w:tblCellMar>
          <w:left w:type="dxa" w:w="115"/>
          <w:right w:type="dxa" w:w="115"/>
        </w:tblCellMar>
      </w:tblPr>
      <w:tblGrid>
        <w:gridCol w:w="3278"/>
        <w:gridCol w:w="3489"/>
        <w:gridCol w:w="4115"/>
      </w:tblGrid>
      <w:tr>
        <w:trPr>
          <w:trHeight w:hRule="atLeast" w:val="4278"/>
        </w:trPr>
        <w:tc>
          <w:tcPr>
            <w:tcW w:type="dxa" w:w="10882"/>
            <w:gridSpan w:val="3"/>
            <w:tcMar>
              <w:left w:type="dxa" w:w="115"/>
              <w:right w:type="dxa" w:w="115"/>
            </w:tcMar>
          </w:tcPr>
          <w:p w14:paraId="03000000">
            <w:pPr>
              <w:pStyle w:val="Style_3"/>
            </w:pPr>
            <w:r>
              <w:t>ТЕЛЕФОННОЕ МОШЕННИЧЕСТВО</w:t>
            </w:r>
          </w:p>
          <w:p w14:paraId="04000000">
            <w:r>
              <mc:AlternateContent>
                <mc:Choice Requires="wps">
      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      <wp:inline>
                      <wp:extent cx="3202940" cy="95250"/>
                      <wp:docPr hidden="false" id="4" name="Picture 4"/>
                      <a:graphic>
                        <a:graphicData uri="http://schemas.microsoft.com/office/word/2010/wordprocessingShape">
                          <wps:wsp>
                            <wps:cNvSpPr txBox="false"/>
                            <wps:spPr>
                              <a:xfrm flipH="false" flipV="false" rot="0">
                                <a:off x="0" y="0"/>
                                <a:ext cx="320294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B400B"/>
                              </a:solidFill>
                              <a:ln>
                                <a:noFill/>
                              </a:ln>
                            </wps:spPr>
                            <wps:bodyPr anchor="ctr" bIns="45720" lIns="91440" rIns="91440" tIns="4572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  <w:p w14:paraId="05000000">
            <w:pPr>
              <w:pStyle w:val="Style_4"/>
              <w:widowControl w:val="1"/>
              <w:spacing w:after="0" w:line="240" w:lineRule="auto"/>
              <w:ind w:firstLine="1418"/>
            </w:pPr>
            <w:r>
              <w:drawing>
                <wp:inline>
                  <wp:extent cx="2002790" cy="1327785"/>
                  <wp:effectExtent b="0" l="0" r="0" t="0"/>
                  <wp:docPr hidden="false" id="5" name="Picture 5"/>
                  <a:graphic>
                    <a:graphicData uri="http://schemas.openxmlformats.org/drawingml/2006/picture">
                      <pic:pic>
                        <pic:nvPicPr>
                          <pic:cNvPr hidden="false" id="6" name="Picture 6"/>
                          <pic:cNvPicPr preferRelativeResize="true"/>
                        </pic:nvPicPr>
                        <pic:blipFill>
                          <a:blip r:embed="rId3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2002790" cy="13277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 w14:paraId="06000000">
            <w:pPr>
              <w:pStyle w:val="Style_4"/>
              <w:widowControl w:val="1"/>
              <w:spacing w:after="0" w:line="240" w:lineRule="auto"/>
              <w:ind/>
              <w:rPr>
                <w:sz w:val="32"/>
              </w:rPr>
            </w:pPr>
            <w:r>
              <w:rPr>
                <w:sz w:val="32"/>
              </w:rPr>
              <w:t xml:space="preserve">Прокуратура </w:t>
            </w:r>
            <w:r>
              <w:rPr>
                <w:sz w:val="32"/>
              </w:rPr>
              <w:t>Зубово-Полянского</w:t>
            </w:r>
            <w:r>
              <w:rPr>
                <w:sz w:val="32"/>
              </w:rPr>
              <w:t xml:space="preserve"> района </w:t>
            </w:r>
            <w:r>
              <w:rPr>
                <w:sz w:val="32"/>
              </w:rPr>
              <w:t>разъясняет</w:t>
            </w:r>
          </w:p>
        </w:tc>
      </w:tr>
      <w:tr>
        <w:trPr>
          <w:trHeight w:hRule="atLeast" w:val="3483"/>
        </w:trPr>
        <w:tc>
          <w:tcPr>
            <w:tcW w:type="dxa" w:w="3278"/>
            <w:tcMar>
              <w:left w:type="dxa" w:w="0"/>
              <w:right w:type="dxa" w:w="115"/>
            </w:tcMar>
          </w:tcPr>
          <w:p w14:paraId="07000000">
            <w:r>
              <mc:AlternateContent>
                <mc:Choice Requires="wps">
      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      <wp:inline>
                      <wp:extent cx="2152650" cy="2220595"/>
                      <wp:docPr hidden="false" id="7" name="Picture 7"/>
                      <a:graphic>
                        <a:graphicData uri="http://schemas.microsoft.com/office/word/2010/wordprocessingShape">
                          <wps:wsp>
                            <wps:cNvSpPr txBox="false"/>
                            <wps:spPr>
                              <a:xfrm flipH="false" flipV="false" rot="0">
                                <a:off x="0" y="0"/>
                                <a:ext cx="2152650" cy="2220595"/>
                              </a:xfrm>
                              <a:custGeom>
                                <a:avLst/>
                                <a:gdLst>
                                  <a:gd fmla="val 0" name="COTextRectL"/>
                                  <a:gd fmla="val 0" name="COTextRectT"/>
                                  <a:gd fmla="val 1" name="COTextRectR"/>
                                  <a:gd fmla="val 1" name="COTextRectB"/>
                                  <a:gd fmla="val 0" name="ODFLeft"/>
                                  <a:gd fmla="val 0" name="ODFTop"/>
                                  <a:gd fmla="val 21600" name="ODFRight"/>
                                  <a:gd fmla="val 21600" name="ODFBottom"/>
                                  <a:gd fmla="val 21600" name="ODFWidth"/>
                                  <a:gd fmla="val 21600" name="ODFHeight"/>
                                  <a:gd fmla="*/ COTextRectL w 1" name="OXMLTextRectL"/>
                                  <a:gd fmla="*/ COTextRectT h 1" name="OXMLTextRectT"/>
                                  <a:gd fmla="*/ COTextRectR w 1" name="OXMLTextRectR"/>
                                  <a:gd fmla="*/ COTextRectB h 1" name="OXMLTextRectB"/>
                                </a:gdLst>
                                <a:rect b="OXMLTextRectB" l="OXMLTextRectL" r="OXMLTextRectR" t="OXMLTextRectT"/>
                                <a:pathLst>
                                  <a:path fill="norm" h="21600" stroke="true" w="21600">
                                    <a:moveTo>
                                      <a:pt x="0" y="0"/>
                                    </a:moveTo>
                                    <a:lnTo>
                                      <a:pt x="0" y="21600"/>
                                    </a:lnTo>
                                    <a:lnTo>
                                      <a:pt x="216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000000">
                                  <w:pPr>
                                    <w:pStyle w:val="Style_5"/>
                                    <w:widowControl w:val="1"/>
                                    <w:spacing w:after="0" w:before="0"/>
                                    <w:ind w:firstLine="425"/>
                                    <w:jc w:val="both"/>
                                    <w:rPr>
                                      <w:rFonts w:ascii="Century Gothic" w:hAnsi="Century Gothic"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/>
                                    </w:rPr>
                                    <w:t xml:space="preserve">В связи с участившимися случаями телефонного мошенничества прокуратура </w:t>
                                  </w:r>
                                  <w:bookmarkStart w:id="1" w:name="_GoBack"/>
                                  <w:bookmarkEnd w:id="1"/>
                                  <w:r>
                                    <w:rPr>
                                      <w:rFonts w:ascii="Century Gothic" w:hAnsi="Century Gothic"/>
                                      <w:color w:val="000000"/>
                                    </w:rPr>
                                    <w:t>Ельниковского</w:t>
                                  </w:r>
                                  <w:r>
                                    <w:rPr>
                                      <w:rFonts w:ascii="Century Gothic" w:hAnsi="Century Gothic"/>
                                      <w:color w:val="000000"/>
                                    </w:rPr>
                                    <w:t xml:space="preserve"> района напоминает об основных правилах безопасности.</w:t>
                                  </w:r>
                                </w:p>
                                <w:p w14:paraId="09000000">
                                  <w:pPr>
                                    <w:pStyle w:val="Style_5"/>
                                    <w:widowControl w:val="1"/>
                                    <w:spacing w:after="0" w:before="0"/>
                                    <w:ind w:firstLine="425"/>
                                    <w:jc w:val="both"/>
                                    <w:rPr>
                                      <w:color w:val="000000"/>
                                      <w:sz w:val="2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/>
                                    </w:rPr>
                                    <w:t>Полные реквизиты</w:t>
                                  </w:r>
                                  <w:r>
                                    <w:rPr>
                                      <w:color w:val="000000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  <w:color w:val="000000"/>
                                    </w:rPr>
                                    <w:t>карт, не нужно разглашать никому — даже банковским служащим. Это касается и CVC/CVV-кодов, а также паролей из SMS-сообщений, которые требуются для подтверждения той или иной операции.</w:t>
                                  </w:r>
                                </w:p>
                                <w:p w14:paraId="0A000000">
                                  <w:pPr>
                                    <w:rPr>
                                      <w:rFonts w:ascii="Arial" w:hAnsi="Arial"/>
                                      <w:color w:val="333333"/>
                                      <w:shd w:fill="F9F8F5" w:val="clear"/>
                                    </w:rPr>
                                  </w:pPr>
                                </w:p>
                                <w:p w14:paraId="0B000000">
                                  <w:pPr>
                                    <w:rPr>
                                      <w:b w:val="1"/>
                                    </w:rPr>
                                  </w:pPr>
                                </w:p>
                                <w:p w14:paraId="0C000000">
                                  <w:pPr>
                                    <w:rPr>
                                      <w:b w:val="1"/>
                                    </w:rPr>
                                  </w:pPr>
                                  <w:r>
                                    <w:rPr>
                                      <w:b w:val="1"/>
                                    </w:rPr>
                                    <w:t>Мошенники на «</w:t>
                                  </w:r>
                                  <w:r>
                                    <w:rPr>
                                      <w:b w:val="1"/>
                                    </w:rPr>
                                    <w:t>Авито</w:t>
                                  </w:r>
                                  <w:r>
                                    <w:rPr>
                                      <w:b w:val="1"/>
                                    </w:rPr>
                                    <w:t xml:space="preserve">» </w:t>
                                  </w:r>
                                </w:p>
                                <w:p w14:paraId="0D000000">
                                  <w:pPr>
                                    <w:widowControl w:val="1"/>
                                    <w:ind w:right="-7640"/>
                                  </w:pPr>
                                  <w:r>
                                    <w:t>При использовании сайта/приложения «</w:t>
                                  </w:r>
                                  <w:r>
                                    <w:t>Авито</w:t>
                                  </w:r>
                                  <w:r>
                                    <w:t xml:space="preserve">» риск столкнуться с мошенниками также не исключен. И рискуют главным образом именно средства на банковской карте. Пользователей услугой должно насторожить следующее: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Покупка товара с запросом о </w:t>
                                  </w:r>
                                  <w:r>
                                    <w:t>пин-коде</w:t>
                                  </w:r>
                                  <w:r>
                                    <w:t xml:space="preserve">. На такую уловку могут попасться как покупатели, так и продавцы. Мошенники под видом тех или иных просят продиктовать им не только номер карты, но и </w:t>
                                  </w:r>
                                  <w:r>
                                    <w:t>пин-код</w:t>
                                  </w:r>
                                  <w:r>
                                    <w:t>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                            </w:r>
                                  <w:r>
                                    <w:br/>
                                  </w:r>
                                </w:p>
                                <w:p w14:paraId="0E000000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anchor="t" bIns="45720" lIns="91440" rIns="91440" tIns="4572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  <w:tc>
          <w:tcPr>
            <w:tcW w:type="dxa" w:w="3489"/>
            <w:tcMar>
              <w:left w:type="dxa" w:w="115"/>
              <w:right w:type="dxa" w:w="115"/>
            </w:tcMar>
          </w:tcPr>
          <w:p w14:paraId="0F000000">
            <w:pPr>
              <w:widowControl w:val="1"/>
              <w:spacing w:after="160" w:line="264" w:lineRule="auto"/>
              <w:ind/>
            </w:pPr>
            <w:r>
              <mc:AlternateContent>
                <mc:Choice Requires="wps">
      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      <wp:inline>
                      <wp:extent cx="2139950" cy="2220595"/>
                      <wp:docPr hidden="false" id="8" name="Picture 8"/>
                      <a:graphic>
                        <a:graphicData uri="http://schemas.microsoft.com/office/word/2010/wordprocessingShape">
                          <wps:wsp>
                            <wps:cNvSpPr txBox="true"/>
                            <wps:spPr>
                              <a:xfrm flipH="false" flipV="false" rot="0">
                                <a:off x="0" y="0"/>
                                <a:ext cx="2139950" cy="2220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0000000"/>
                              </w:txbxContent>
                            </wps:txbx>
                            <wps:bodyPr anchor="t" bIns="45720" lIns="91440" rIns="91440" tIns="4572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      </mc:Fallback>
              </mc:AlternateContent>
            </w:r>
          </w:p>
        </w:tc>
        <w:tc>
          <w:tcPr>
            <w:tcW w:type="dxa" w:w="4115"/>
            <w:tcMar>
              <w:left w:type="dxa" w:w="115"/>
              <w:right w:type="dxa" w:w="115"/>
            </w:tcMar>
          </w:tcPr>
          <w:p w14:paraId="11000000">
            <w:pPr>
              <w:widowControl w:val="1"/>
              <w:spacing w:after="160" w:line="264" w:lineRule="auto"/>
              <w:ind/>
            </w:pPr>
            <w:r>
              <w:drawing>
                <wp:inline>
                  <wp:extent cx="2470785" cy="1632585"/>
                  <wp:effectExtent b="0" l="0" r="0" t="0"/>
                  <wp:docPr hidden="false" id="9" name="Picture 9"/>
                  <a:graphic>
                    <a:graphicData uri="http://schemas.openxmlformats.org/drawingml/2006/picture">
                      <pic:pic>
                        <pic:nvPicPr>
                          <pic:cNvPr hidden="false" id="10" name="Picture 10"/>
                          <pic:cNvPicPr preferRelativeResize="true"/>
                        </pic:nvPicPr>
                        <pic:blipFill>
                          <a:blip r:embed="rId4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2470785" cy="16325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1222"/>
        </w:trPr>
        <w:tc>
          <w:tcPr>
            <w:tcW w:type="dxa" w:w="10882"/>
            <w:gridSpan w:val="3"/>
            <w:tcBorders/>
            <w:shd w:fill="3F1D5A" w:val="clear"/>
            <w:tcMar>
              <w:left w:type="dxa" w:w="115"/>
              <w:right w:type="dxa" w:w="115"/>
            </w:tcMar>
          </w:tcPr>
          <w:p w14:paraId="12000000">
            <w:pPr>
              <w:widowControl w:val="1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sz w:val="27"/>
              </w:rPr>
              <w:t>Махинации с банковскими картами – это преступление, за которое подлежит нести уголовную ответственность согласно статье 159.3 УК Российской Федерации «Мошенничество с использованием электронных сре</w:t>
            </w:r>
            <w:r>
              <w:rPr>
                <w:rFonts w:ascii="Times New Roman" w:hAnsi="Times New Roman"/>
                <w:sz w:val="27"/>
              </w:rPr>
              <w:t>дств пл</w:t>
            </w:r>
            <w:r>
              <w:rPr>
                <w:rFonts w:ascii="Times New Roman" w:hAnsi="Times New Roman"/>
                <w:sz w:val="27"/>
              </w:rPr>
              <w:t>атежа».</w:t>
            </w:r>
            <w:r>
              <w:rPr>
                <w:rFonts w:ascii="Times New Roman" w:hAnsi="Times New Roman"/>
                <w:sz w:val="27"/>
              </w:rPr>
              <w:br/>
            </w:r>
          </w:p>
        </w:tc>
      </w:tr>
    </w:tbl>
    <w:p w14:paraId="13000000">
      <w:pPr>
        <w:widowControl w:val="1"/>
        <w:spacing w:before="120" w:line="240" w:lineRule="auto"/>
        <w:ind w:firstLine="709"/>
        <w:jc w:val="both"/>
        <w:rPr>
          <w:b w:val="1"/>
          <w:sz w:val="24"/>
        </w:rPr>
      </w:pPr>
      <w:r>
        <w:rPr>
          <w:b w:val="1"/>
          <w:sz w:val="24"/>
        </w:rPr>
        <w:t>Мошенники на «</w:t>
      </w:r>
      <w:r>
        <w:rPr>
          <w:b w:val="1"/>
          <w:sz w:val="24"/>
        </w:rPr>
        <w:t>Авито</w:t>
      </w:r>
      <w:r>
        <w:rPr>
          <w:b w:val="1"/>
          <w:sz w:val="24"/>
        </w:rPr>
        <w:t xml:space="preserve">». </w:t>
      </w:r>
    </w:p>
    <w:p w14:paraId="14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При использовании сайта/приложения «</w:t>
      </w:r>
      <w:r>
        <w:rPr>
          <w:sz w:val="24"/>
        </w:rPr>
        <w:t>Авито</w:t>
      </w:r>
      <w:r>
        <w:rPr>
          <w:sz w:val="24"/>
        </w:rPr>
        <w:t xml:space="preserve">» риск столкнуться с мошенниками также не исключен. И рискуют главным образом именно средства на банковской карте. </w:t>
      </w:r>
    </w:p>
    <w:p w14:paraId="15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Пользователей услугой должно насторожить следующее: </w:t>
      </w:r>
    </w:p>
    <w:p w14:paraId="16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-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</w:t>
      </w:r>
    </w:p>
    <w:p w14:paraId="17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- Покупка товара с запросом о </w:t>
      </w:r>
      <w:r>
        <w:rPr>
          <w:sz w:val="24"/>
        </w:rPr>
        <w:t>пин-коде</w:t>
      </w:r>
      <w:r>
        <w:rPr>
          <w:sz w:val="24"/>
        </w:rPr>
        <w:t xml:space="preserve">. На такую уловку могут попасться как покупатели, так и продавцы. Мошенники под видом тех или иных просят продиктовать им не только номер карты, но и </w:t>
      </w:r>
      <w:r>
        <w:rPr>
          <w:sz w:val="24"/>
        </w:rPr>
        <w:t>пин-код</w:t>
      </w:r>
      <w:r>
        <w:rPr>
          <w:sz w:val="24"/>
        </w:rPr>
        <w:t>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</w:r>
    </w:p>
    <w:p w14:paraId="18000000">
      <w:pPr>
        <w:widowControl w:val="1"/>
        <w:spacing w:before="120" w:line="240" w:lineRule="auto"/>
        <w:ind w:firstLine="709"/>
        <w:jc w:val="both"/>
        <w:rPr>
          <w:b w:val="1"/>
          <w:sz w:val="24"/>
        </w:rPr>
      </w:pPr>
      <w:r>
        <w:rPr>
          <w:b w:val="1"/>
          <w:sz w:val="24"/>
        </w:rPr>
        <w:t xml:space="preserve">Посредством Мобильного банка </w:t>
      </w:r>
    </w:p>
    <w:p w14:paraId="19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Мобильные приложения, касающиеся банковских услуг, очень удобны в использовании и упрощают финансовые действия: оплату, перевод сре</w:t>
      </w:r>
      <w:r>
        <w:rPr>
          <w:sz w:val="24"/>
        </w:rPr>
        <w:t>дств др</w:t>
      </w:r>
      <w:r>
        <w:rPr>
          <w:sz w:val="24"/>
        </w:rPr>
        <w:t xml:space="preserve">угим людям, пополнение счета и т.п. Но они могут нести угрозу денежным средствам. </w:t>
      </w:r>
    </w:p>
    <w:p w14:paraId="1A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Мошенничество через Мобильный банк осуществляется путем заражения приложения </w:t>
      </w:r>
      <w:r>
        <w:rPr>
          <w:sz w:val="24"/>
        </w:rPr>
        <w:t>вирусом-трояном</w:t>
      </w:r>
      <w:r>
        <w:rPr>
          <w:sz w:val="24"/>
        </w:rPr>
        <w:t xml:space="preserve">. </w:t>
      </w:r>
      <w:r>
        <w:rPr>
          <w:sz w:val="24"/>
        </w:rPr>
        <w:t xml:space="preserve">Вирус подменяет оригинальное окно ввода логина и пароля на фальшивое, а после введенные данные держателя карты переходят в распоряжение мошенников. </w:t>
      </w:r>
    </w:p>
    <w:p w14:paraId="1B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Этот вирус позволяет мошенникам получать доступ не только в Мобильный банк потерпевшего, но и </w:t>
      </w:r>
      <w:r>
        <w:rPr>
          <w:sz w:val="24"/>
        </w:rPr>
        <w:t>к</w:t>
      </w:r>
      <w:r>
        <w:rPr>
          <w:sz w:val="24"/>
        </w:rPr>
        <w:t xml:space="preserve"> его </w:t>
      </w:r>
      <w:r>
        <w:rPr>
          <w:sz w:val="24"/>
        </w:rPr>
        <w:t>смс</w:t>
      </w:r>
      <w:r>
        <w:rPr>
          <w:sz w:val="24"/>
        </w:rPr>
        <w:t xml:space="preserve"> с одноразовыми паролями. Кроме того, </w:t>
      </w:r>
      <w:r>
        <w:rPr>
          <w:sz w:val="24"/>
        </w:rPr>
        <w:t>троян</w:t>
      </w:r>
      <w:r>
        <w:rPr>
          <w:sz w:val="24"/>
        </w:rPr>
        <w:t xml:space="preserve"> может преграждать путь </w:t>
      </w:r>
      <w:r>
        <w:rPr>
          <w:sz w:val="24"/>
        </w:rPr>
        <w:t>смс</w:t>
      </w:r>
      <w:r>
        <w:rPr>
          <w:sz w:val="24"/>
        </w:rPr>
        <w:t xml:space="preserve"> из банка о совершенных транзакциях на номер владельца карты, в результате чего последний долгое время не подозревает о финансовых махинациях.</w:t>
      </w:r>
    </w:p>
    <w:p w14:paraId="1C000000">
      <w:pPr>
        <w:widowControl w:val="1"/>
        <w:spacing w:before="120" w:line="240" w:lineRule="auto"/>
        <w:ind w:firstLine="709"/>
        <w:jc w:val="both"/>
        <w:rPr>
          <w:b w:val="1"/>
          <w:sz w:val="24"/>
        </w:rPr>
      </w:pPr>
      <w:r>
        <w:rPr>
          <w:b w:val="1"/>
          <w:sz w:val="24"/>
        </w:rPr>
        <w:t xml:space="preserve">Звонок от </w:t>
      </w:r>
      <w:r>
        <w:rPr>
          <w:b w:val="1"/>
          <w:sz w:val="24"/>
        </w:rPr>
        <w:t>лже-оператора</w:t>
      </w:r>
      <w:r>
        <w:rPr>
          <w:b w:val="1"/>
          <w:sz w:val="24"/>
        </w:rPr>
        <w:t xml:space="preserve"> или метод </w:t>
      </w:r>
      <w:r>
        <w:rPr>
          <w:b w:val="1"/>
          <w:sz w:val="24"/>
        </w:rPr>
        <w:t>вишинга</w:t>
      </w:r>
      <w:r>
        <w:rPr>
          <w:b w:val="1"/>
          <w:sz w:val="24"/>
        </w:rPr>
        <w:t xml:space="preserve">.  </w:t>
      </w:r>
    </w:p>
    <w:p w14:paraId="1D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Такой вид махинации с банковскими картами широко распространен от «лица» Сбербанка. </w:t>
      </w:r>
    </w:p>
    <w:p w14:paraId="1E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Сперва</w:t>
      </w:r>
      <w:r>
        <w:rPr>
          <w:sz w:val="24"/>
        </w:rPr>
        <w:t xml:space="preserve"> на номер телефона держателя карты приходит </w:t>
      </w:r>
      <w:r>
        <w:rPr>
          <w:sz w:val="24"/>
        </w:rPr>
        <w:t>смс</w:t>
      </w:r>
      <w:r>
        <w:rPr>
          <w:sz w:val="24"/>
        </w:rPr>
        <w:t xml:space="preserve"> с номеров похожих на 900 или 9000 о том, что для подтверждения перевода денег необходимо ввести код, иначе операция совершится самостоятельно (при этом, разумеется, владелец не проводил никаких действий с деньгами). </w:t>
      </w:r>
    </w:p>
    <w:p w14:paraId="1F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Через некоторое время после </w:t>
      </w:r>
      <w:r>
        <w:rPr>
          <w:sz w:val="24"/>
        </w:rPr>
        <w:t>смс</w:t>
      </w:r>
      <w:r>
        <w:rPr>
          <w:sz w:val="24"/>
        </w:rPr>
        <w:t xml:space="preserve"> абоненту </w:t>
      </w:r>
      <w:r>
        <w:rPr>
          <w:sz w:val="24"/>
        </w:rPr>
        <w:t xml:space="preserve">звонит </w:t>
      </w:r>
      <w:r>
        <w:rPr>
          <w:sz w:val="24"/>
        </w:rPr>
        <w:t>псевдо-оператор</w:t>
      </w:r>
      <w:r>
        <w:rPr>
          <w:sz w:val="24"/>
        </w:rPr>
        <w:t xml:space="preserve"> Сбербанка и говорит</w:t>
      </w:r>
      <w:r>
        <w:rPr>
          <w:sz w:val="24"/>
        </w:rPr>
        <w:t xml:space="preserve">, что для отмены перевода денег им необходимо предоставить данные карты. Многие люди в панике и по незнанию предоставляют мошенникам всю запрашиваемую информацию и через считанные минуты остаются без средств на карте. </w:t>
      </w:r>
    </w:p>
    <w:p w14:paraId="20000000">
      <w:pPr>
        <w:widowControl w:val="1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Такой способ именуется </w:t>
      </w:r>
      <w:r>
        <w:rPr>
          <w:sz w:val="24"/>
        </w:rPr>
        <w:t>вишингом</w:t>
      </w:r>
      <w:r>
        <w:rPr>
          <w:sz w:val="24"/>
        </w:rPr>
        <w:t xml:space="preserve">. Он рассчитан на неопытных доверчивых людей, которые способны без подозрений передать «банковским работникам» </w:t>
      </w:r>
      <w:r>
        <w:rPr>
          <w:sz w:val="24"/>
        </w:rPr>
        <w:t>пин-код</w:t>
      </w:r>
      <w:r>
        <w:rPr>
          <w:sz w:val="24"/>
        </w:rPr>
        <w:t xml:space="preserve">, в то время как эти данные являются строго конфиденциальной информацией. </w:t>
      </w:r>
      <w:r>
        <w:rPr>
          <w:sz w:val="24"/>
        </w:rPr>
        <w:t xml:space="preserve">Потеряв и забыв </w:t>
      </w:r>
      <w:r>
        <w:rPr>
          <w:sz w:val="24"/>
        </w:rPr>
        <w:t>пин-код</w:t>
      </w:r>
      <w:r>
        <w:rPr>
          <w:sz w:val="24"/>
        </w:rPr>
        <w:t xml:space="preserve"> владелец карты не может</w:t>
      </w:r>
      <w:r>
        <w:rPr>
          <w:sz w:val="24"/>
        </w:rPr>
        <w:t xml:space="preserve"> его восстановить ему остается только </w:t>
      </w:r>
      <w:r>
        <w:rPr>
          <w:sz w:val="24"/>
        </w:rPr>
        <w:t>перевыпустить</w:t>
      </w:r>
      <w:r>
        <w:rPr>
          <w:sz w:val="24"/>
        </w:rPr>
        <w:t xml:space="preserve"> карту или проводить операции по ее счету в отделении, предоставив паспорт сотрудникам банка. Поэтому официальный работник Сбербанка у </w:t>
      </w:r>
      <w:r>
        <w:rPr>
          <w:sz w:val="24"/>
        </w:rPr>
        <w:t>вас</w:t>
      </w:r>
      <w:r>
        <w:rPr>
          <w:sz w:val="24"/>
        </w:rPr>
        <w:t xml:space="preserve"> никогда не будет запрашивать по телефону </w:t>
      </w:r>
      <w:r>
        <w:rPr>
          <w:sz w:val="24"/>
        </w:rPr>
        <w:t>пин-код</w:t>
      </w:r>
      <w:r>
        <w:rPr>
          <w:sz w:val="24"/>
        </w:rPr>
        <w:t>.</w:t>
      </w:r>
    </w:p>
    <w:p w14:paraId="21000000">
      <w:pPr>
        <w:widowControl w:val="1"/>
        <w:spacing w:after="0" w:line="240" w:lineRule="auto"/>
        <w:ind w:firstLine="709"/>
        <w:jc w:val="both"/>
        <w:rPr>
          <w:sz w:val="24"/>
        </w:rPr>
      </w:pPr>
    </w:p>
    <w:p w14:paraId="22000000">
      <w:pPr>
        <w:widowControl w:val="1"/>
        <w:spacing w:after="0" w:line="240" w:lineRule="auto"/>
        <w:ind w:firstLine="709"/>
        <w:jc w:val="both"/>
        <w:rPr>
          <w:sz w:val="24"/>
        </w:rPr>
      </w:pPr>
    </w:p>
    <w:p w14:paraId="23000000">
      <w:pPr>
        <w:widowControl w:val="1"/>
        <w:spacing w:after="0" w:line="240" w:lineRule="auto"/>
        <w:ind w:firstLine="709"/>
        <w:jc w:val="center"/>
        <w:rPr>
          <w:sz w:val="24"/>
        </w:rPr>
      </w:pPr>
      <w:r>
        <w:rPr>
          <w:sz w:val="24"/>
        </w:rPr>
        <w:drawing>
          <wp:inline>
            <wp:extent cx="5094605" cy="4669790"/>
            <wp:effectExtent b="0" l="0" r="0" t="0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5094605" cy="46697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4000000"/>
    <w:sectPr>
      <w:headerReference r:id="rId2" w:type="default"/>
      <w:headerReference r:id="rId1" w:type="first"/>
      <w:pgSz w:h="16838" w:orient="portrait" w:w="11906"/>
      <w:pgMar w:bottom="288" w:footer="0" w:gutter="0" w:header="0" w:left="936" w:right="936" w:top="288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mc:AlternateContent>
        <mc:Choice Requires="wpg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layoutInCell="true" locked="false" relativeHeight="251658240" simplePos="false">
              <wp:simplePos x="0" y="0"/>
              <wp:positionH relativeFrom="page">
                <wp:posOffset>4498975</wp:posOffset>
              </wp:positionH>
              <wp:positionV relativeFrom="page">
                <wp:posOffset>-1664335</wp:posOffset>
              </wp:positionV>
              <wp:extent cx="4370705" cy="4782185"/>
              <wp:wrapNone/>
              <wp:docPr hidden="false" id="1" name="Picture 1"/>
              <a:graphic>
                <a:graphicData uri="http://schemas.microsoft.com/office/word/2010/wordprocessingGroup">
                  <wpg:wgp>
                    <wpg:cNvGrpSpPr/>
                    <wpg:grpSpPr>
                      <a:xfrm flipH="false" flipV="false" rot="0">
                        <a:off x="0" y="0"/>
                        <a:ext cx="4370705" cy="4782185"/>
                        <a:chOff x="0" y="0"/>
                        <a:chExt cx="4370705" cy="4782185"/>
                      </a:xfrm>
                    </wpg:grpSpPr>
                    <wps:wsp>
                      <wps:cNvSpPr txBox="true"/>
                      <wps:spPr>
                        <a:xfrm flipH="false" flipV="false" rot="0">
                          <a:off x="836606" y="603985"/>
                          <a:ext cx="3534098" cy="40899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  <wps:wsp>
                      <wps:cNvSpPr txBox="true"/>
                      <wps:spPr>
                        <a:xfrm flipH="false" flipV="false" rot="0">
                          <a:off x="325249" y="1672845"/>
                          <a:ext cx="2773619" cy="32054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  <wps:wsp>
                      <wps:cNvSpPr txBox="true"/>
                      <wps:spPr>
                        <a:xfrm flipH="false" flipV="false" rot="0">
                          <a:off x="0" y="2857728"/>
                          <a:ext cx="1584365" cy="18338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  <wps:wsp>
                      <wps:cNvSpPr txBox="true"/>
                      <wps:spPr>
                        <a:xfrm flipH="false" flipV="false" rot="0">
                          <a:off x="2289463" y="3480300"/>
                          <a:ext cx="1649141" cy="19058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</w:pPr>
    <w:r>
      <w:drawing>
        <wp:anchor allowOverlap="true" behindDoc="true" layoutInCell="true" locked="false" relativeHeight="251658240" simplePos="false">
          <wp:simplePos x="0" y="0"/>
          <wp:positionH relativeFrom="page">
            <wp:posOffset>4563110</wp:posOffset>
          </wp:positionH>
          <wp:positionV relativeFrom="page">
            <wp:posOffset>0</wp:posOffset>
          </wp:positionV>
          <wp:extent cx="3648709" cy="328295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3" name="Picture 3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3648709" cy="328295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6"/>
    <w:next w:val="Style_6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" w:type="paragraph">
    <w:name w:val="header"/>
    <w:basedOn w:val="Style_6"/>
    <w:link w:val="Style_1_ch"/>
    <w:pPr>
      <w:widowControl w:val="1"/>
      <w:tabs>
        <w:tab w:leader="none" w:pos="4680" w:val="center"/>
        <w:tab w:leader="none" w:pos="9360" w:val="right"/>
      </w:tabs>
      <w:spacing w:after="0" w:line="240" w:lineRule="auto"/>
      <w:ind/>
    </w:pPr>
    <w:rPr>
      <w:rFonts w:ascii="Century Gothic" w:hAnsi="Century Gothic"/>
      <w:sz w:val="20"/>
    </w:rPr>
  </w:style>
  <w:style w:styleId="Style_1_ch" w:type="character">
    <w:name w:val="header"/>
    <w:basedOn w:val="Style_6_ch"/>
    <w:link w:val="Style_1"/>
    <w:rPr>
      <w:rFonts w:ascii="Century Gothic" w:hAnsi="Century Gothic"/>
      <w:sz w:val="20"/>
    </w:rPr>
  </w:style>
  <w:style w:styleId="Style_11" w:type="paragraph">
    <w:name w:val="toc 7"/>
    <w:next w:val="Style_6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Balloon Text"/>
    <w:basedOn w:val="Style_6"/>
    <w:link w:val="Style_12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6_ch"/>
    <w:link w:val="Style_12"/>
    <w:rPr>
      <w:rFonts w:ascii="Tahoma" w:hAnsi="Tahoma"/>
      <w:sz w:val="16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6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toc 3"/>
    <w:next w:val="Style_6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4" w:type="paragraph">
    <w:name w:val="heading 5"/>
    <w:basedOn w:val="Style_6"/>
    <w:next w:val="Style_6"/>
    <w:link w:val="Style_4_ch"/>
    <w:uiPriority w:val="9"/>
    <w:qFormat/>
    <w:pPr>
      <w:keepNext w:val="1"/>
      <w:keepLines w:val="1"/>
      <w:widowControl w:val="1"/>
      <w:spacing w:after="140"/>
      <w:ind/>
      <w:contextualSpacing w:val="1"/>
      <w:outlineLvl w:val="4"/>
    </w:pPr>
    <w:rPr>
      <w:rFonts w:ascii="Century Gothic" w:hAnsi="Century Gothic"/>
      <w:b w:val="1"/>
      <w:color w:val="272063"/>
      <w:sz w:val="24"/>
    </w:rPr>
  </w:style>
  <w:style w:styleId="Style_4_ch" w:type="character">
    <w:name w:val="heading 5"/>
    <w:basedOn w:val="Style_6_ch"/>
    <w:link w:val="Style_4"/>
    <w:rPr>
      <w:rFonts w:ascii="Century Gothic" w:hAnsi="Century Gothic"/>
      <w:b w:val="1"/>
      <w:color w:val="272063"/>
      <w:sz w:val="24"/>
    </w:rPr>
  </w:style>
  <w:style w:styleId="Style_16" w:type="paragraph">
    <w:name w:val="heading 1"/>
    <w:next w:val="Style_6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5" w:type="paragraph">
    <w:name w:val="Normal (Web)"/>
    <w:basedOn w:val="Style_6"/>
    <w:link w:val="Style_5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5_ch" w:type="character">
    <w:name w:val="Normal (Web)"/>
    <w:basedOn w:val="Style_6_ch"/>
    <w:link w:val="Style_5"/>
    <w:rPr>
      <w:rFonts w:ascii="Times New Roman" w:hAnsi="Times New Roman"/>
      <w:sz w:val="24"/>
    </w:rPr>
  </w:style>
  <w:style w:styleId="Style_19" w:type="paragraph">
    <w:name w:val="toc 1"/>
    <w:next w:val="Style_6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6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6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6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6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3" w:type="paragraph">
    <w:name w:val="Title"/>
    <w:basedOn w:val="Style_6"/>
    <w:next w:val="Style_6"/>
    <w:link w:val="Style_3_ch"/>
    <w:uiPriority w:val="10"/>
    <w:qFormat/>
    <w:pPr>
      <w:widowControl w:val="1"/>
      <w:spacing w:line="240" w:lineRule="auto"/>
      <w:ind/>
      <w:contextualSpacing w:val="1"/>
    </w:pPr>
    <w:rPr>
      <w:rFonts w:ascii="Century Gothic" w:hAnsi="Century Gothic"/>
      <w:b w:val="1"/>
      <w:caps w:val="1"/>
      <w:color w:val="CB400B"/>
      <w:spacing w:val="5"/>
      <w:sz w:val="52"/>
    </w:rPr>
  </w:style>
  <w:style w:styleId="Style_3_ch" w:type="character">
    <w:name w:val="Title"/>
    <w:basedOn w:val="Style_6_ch"/>
    <w:link w:val="Style_3"/>
    <w:rPr>
      <w:rFonts w:ascii="Century Gothic" w:hAnsi="Century Gothic"/>
      <w:b w:val="1"/>
      <w:caps w:val="1"/>
      <w:color w:val="CB400B"/>
      <w:spacing w:val="5"/>
      <w:sz w:val="52"/>
    </w:rPr>
  </w:style>
  <w:style w:styleId="Style_25" w:type="paragraph">
    <w:name w:val="heading 4"/>
    <w:next w:val="Style_6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6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ntTable.xml" Type="http://schemas.openxmlformats.org/officeDocument/2006/relationships/fontTable"/>
  <Relationship Id="rId1" Target="header1.xml" Type="http://schemas.openxmlformats.org/officeDocument/2006/relationships/header"/>
  <Relationship Id="rId10" Target="webSettings.xml" Type="http://schemas.openxmlformats.org/officeDocument/2006/relationships/webSettings"/>
  <Relationship Id="rId2" Target="header2.xml" Type="http://schemas.openxmlformats.org/officeDocument/2006/relationships/header"/>
  <Relationship Id="rId3" Target="media/2.jpeg" Type="http://schemas.openxmlformats.org/officeDocument/2006/relationships/image"/>
  <Relationship Id="rId8" Target="styles.xml" Type="http://schemas.openxmlformats.org/officeDocument/2006/relationships/styles"/>
  <Relationship Id="rId4" Target="media/3.jpeg" Type="http://schemas.openxmlformats.org/officeDocument/2006/relationships/image"/>
  <Relationship Id="rId11" Target="theme/theme1.xml" Type="http://schemas.openxmlformats.org/officeDocument/2006/relationships/theme"/>
  <Relationship Id="rId9" Target="stylesWithEffects.xml" Type="http://schemas.microsoft.com/office/2007/relationships/stylesWithEffects"/>
  <Relationship Id="rId7" Target="settings.xml" Type="http://schemas.openxmlformats.org/officeDocument/2006/relationships/settings"/>
  <Relationship Id="rId5" Target="media/4.jpeg" Type="http://schemas.openxmlformats.org/officeDocument/2006/relationships/image"/>
</Relationships>

</file>

<file path=word/_rels/header2.xml.rels><?xml version="1.0" encoding="UTF-8" standalone="no" ?>
<Relationships xmlns="http://schemas.openxmlformats.org/package/2006/relationships"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2023-06-25T14:52:00Z</dcterms:created>
  <dcterms:modified xsi:type="dcterms:W3CDTF">2026-06-29T12:05:17Z</dcterms:modified>
</cp:coreProperties>
</file>