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ind w:firstLine="709"/>
        <w:jc w:val="both"/>
      </w:pPr>
      <w:r>
        <w:t>C 3 марта 2026 года начинает действовать новая редакция Уголовного и Уголовно-процессуального кодексов Российской Федерации. </w:t>
      </w:r>
    </w:p>
    <w:p w14:paraId="28000000">
      <w:pPr>
        <w:ind w:firstLine="709"/>
        <w:jc w:val="both"/>
      </w:pPr>
      <w:r>
        <w:t>Так, примечание к статье 104.1 УК РФ дополнено вторым пунктом, который признает цифровую валюту имуществом. </w:t>
      </w:r>
    </w:p>
    <w:p w14:paraId="29000000">
      <w:pPr>
        <w:ind w:firstLine="709"/>
        <w:jc w:val="both"/>
      </w:pPr>
      <w:r>
        <w:t>В статье 115 УПК РФ добавились части 7.1 и 7.2, которыми предусмотрен порядок ареста цифровой валюты. </w:t>
      </w:r>
    </w:p>
    <w:p w14:paraId="2A000000">
      <w:pPr>
        <w:ind w:firstLine="709"/>
        <w:jc w:val="both"/>
      </w:pPr>
      <w:r>
        <w:t>Согласно нововведениям, при наложении ареста на цифровую валюту операции с ней прекращаются полностью или частично в пределах, определенных судом. </w:t>
      </w:r>
    </w:p>
    <w:p w14:paraId="2B000000">
      <w:pPr>
        <w:ind w:firstLine="709"/>
        <w:jc w:val="both"/>
      </w:pPr>
      <w:r>
        <w:t>В случае</w:t>
      </w:r>
      <w:r>
        <w:t>,</w:t>
      </w:r>
      <w:r>
        <w:t xml:space="preserve"> если цифровая валюта или доступ к ней хранятся на цифровом носителе, то он подлежит изъятию. </w:t>
      </w:r>
    </w:p>
    <w:p w14:paraId="2C000000">
      <w:pPr>
        <w:ind w:firstLine="709"/>
        <w:jc w:val="both"/>
      </w:pPr>
      <w:r>
        <w:t>При наличии технической возможности может быть осуществлен перевод цифровой валюты на специальный адрес-идентификатор, позволяющий обеспечить ее сохранность. </w:t>
      </w:r>
    </w:p>
    <w:p w14:paraId="2D000000">
      <w:pPr>
        <w:ind w:firstLine="709"/>
        <w:jc w:val="both"/>
      </w:pPr>
      <w:r>
        <w:t>Также, УПК РФ дополнен новой статьей 164.2 «Особенности изъятия цифровой валюты при производстве следственных действий», закрепляющей следующие положения: </w:t>
      </w:r>
    </w:p>
    <w:p w14:paraId="2E000000">
      <w:pPr>
        <w:ind w:firstLine="709"/>
        <w:jc w:val="both"/>
      </w:pPr>
      <w:r>
        <w:t xml:space="preserve">- изъятие цифровой валюты в ходе следственных действий должно </w:t>
      </w:r>
      <w:r>
        <w:t>проводится</w:t>
      </w:r>
      <w:r>
        <w:t xml:space="preserve"> с участием специалиста; </w:t>
      </w:r>
    </w:p>
    <w:p w14:paraId="2F000000">
      <w:pPr>
        <w:ind w:firstLine="709"/>
        <w:jc w:val="both"/>
      </w:pPr>
      <w:r>
        <w:t xml:space="preserve">- в случае изъятия материального носителя, на котором содержится цифровая валюта или информация, посредством которой осуществляется доступ к ней, он должен </w:t>
      </w:r>
      <w:r>
        <w:t>хранится</w:t>
      </w:r>
      <w:r>
        <w:t xml:space="preserve"> в опечатанном виде в условиях, обеспечивающих сохранность такой валюты и исключающих возможность ознакомления с указанной информацией посторонних лиц.</w:t>
      </w:r>
    </w:p>
    <w:p w14:paraId="30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2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3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4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5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6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7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8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9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Обычный12"/>
    <w:link w:val="Style_13_ch"/>
    <w:rPr>
      <w:rFonts w:ascii="Times New Roman" w:hAnsi="Times New Roman"/>
      <w:sz w:val="28"/>
    </w:rPr>
  </w:style>
  <w:style w:styleId="Style_13_ch" w:type="character">
    <w:name w:val="Обычный12"/>
    <w:link w:val="Style_13"/>
    <w:rPr>
      <w:rFonts w:ascii="Times New Roman" w:hAnsi="Times New Roman"/>
      <w:sz w:val="28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15" w:type="paragraph">
    <w:name w:val="Balloon Text"/>
    <w:basedOn w:val="Style_4"/>
    <w:link w:val="Style_15_ch"/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Гиперссылка1"/>
    <w:link w:val="Style_17_ch"/>
    <w:rPr>
      <w:color w:val="0000FF"/>
      <w:u w:val="single"/>
    </w:rPr>
  </w:style>
  <w:style w:styleId="Style_17_ch" w:type="character">
    <w:name w:val="Гиперссылка1"/>
    <w:link w:val="Style_17"/>
    <w:rPr>
      <w:color w:val="0000FF"/>
      <w:u w:val="single"/>
    </w:rPr>
  </w:style>
  <w:style w:styleId="Style_18" w:type="paragraph">
    <w:name w:val="Обычный1"/>
    <w:link w:val="Style_18_ch"/>
    <w:rPr>
      <w:rFonts w:ascii="Times New Roman" w:hAnsi="Times New Roman"/>
      <w:sz w:val="28"/>
    </w:rPr>
  </w:style>
  <w:style w:styleId="Style_18_ch" w:type="character">
    <w:name w:val="Обычный1"/>
    <w:link w:val="Style_18"/>
    <w:rPr>
      <w:rFonts w:ascii="Times New Roman" w:hAnsi="Times New Roman"/>
      <w:sz w:val="28"/>
    </w:rPr>
  </w:style>
  <w:style w:styleId="Style_19" w:type="paragraph">
    <w:name w:val="header"/>
    <w:basedOn w:val="Style_4"/>
    <w:link w:val="Style_19_ch"/>
    <w:pPr>
      <w:widowControl w:val="0"/>
      <w:tabs>
        <w:tab w:leader="none" w:pos="4677" w:val="center"/>
        <w:tab w:leader="none" w:pos="9355" w:val="right"/>
      </w:tabs>
      <w:ind/>
    </w:pPr>
  </w:style>
  <w:style w:styleId="Style_19_ch" w:type="character">
    <w:name w:val="header"/>
    <w:basedOn w:val="Style_4_ch"/>
    <w:link w:val="Style_19"/>
  </w:style>
  <w:style w:styleId="Style_20" w:type="paragraph">
    <w:name w:val="toc 3"/>
    <w:next w:val="Style_4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Замещающий текст1"/>
    <w:basedOn w:val="Style_14"/>
    <w:link w:val="Style_23_ch"/>
    <w:rPr>
      <w:color w:val="808080"/>
    </w:rPr>
  </w:style>
  <w:style w:styleId="Style_23_ch" w:type="character">
    <w:name w:val="Замещающий текст1"/>
    <w:basedOn w:val="Style_14_ch"/>
    <w:link w:val="Style_23"/>
    <w:rPr>
      <w:color w:val="808080"/>
    </w:rPr>
  </w:style>
  <w:style w:styleId="Style_24" w:type="paragraph">
    <w:name w:val="Гиперссылка2"/>
    <w:link w:val="Style_24_ch"/>
    <w:rPr>
      <w:color w:val="0000FF"/>
      <w:u w:val="single"/>
    </w:rPr>
  </w:style>
  <w:style w:styleId="Style_24_ch" w:type="character">
    <w:name w:val="Гиперссылка2"/>
    <w:link w:val="Style_24"/>
    <w:rPr>
      <w:color w:val="0000FF"/>
      <w:u w:val="single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27" w:type="paragraph">
    <w:name w:val="toc 1"/>
    <w:next w:val="Style_4"/>
    <w:link w:val="Style_27_ch"/>
    <w:uiPriority w:val="39"/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widowControl w:val="0"/>
      <w:ind/>
      <w:jc w:val="both"/>
    </w:pPr>
    <w:rPr>
      <w:rFonts w:ascii="XO Thames" w:hAnsi="XO Thames"/>
    </w:rPr>
  </w:style>
  <w:style w:styleId="Style_28_ch" w:type="character">
    <w:name w:val="Header and Footer"/>
    <w:link w:val="Style_28"/>
    <w:rPr>
      <w:rFonts w:ascii="XO Thames" w:hAnsi="XO Thames"/>
    </w:rPr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Гиперссылка2"/>
    <w:link w:val="Style_31_ch"/>
    <w:rPr>
      <w:color w:val="0000FF"/>
      <w:u w:val="single"/>
    </w:rPr>
  </w:style>
  <w:style w:styleId="Style_31_ch" w:type="character">
    <w:name w:val="Гиперссылка2"/>
    <w:link w:val="Style_31"/>
    <w:rPr>
      <w:color w:val="0000FF"/>
      <w:u w:val="single"/>
    </w:rPr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Основной шрифт абзаца2"/>
    <w:link w:val="Style_35_ch"/>
  </w:style>
  <w:style w:styleId="Style_35_ch" w:type="character">
    <w:name w:val="Основной шрифт абзаца2"/>
    <w:link w:val="Style_35"/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Обычный1"/>
    <w:link w:val="Style_36_ch"/>
    <w:rPr>
      <w:rFonts w:ascii="Times New Roman" w:hAnsi="Times New Roman"/>
      <w:sz w:val="28"/>
    </w:rPr>
  </w:style>
  <w:style w:styleId="Style_36_ch" w:type="character">
    <w:name w:val="Обычный1"/>
    <w:link w:val="Style_36"/>
    <w:rPr>
      <w:rFonts w:ascii="Times New Roman" w:hAnsi="Times New Roman"/>
      <w:sz w:val="28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2026-04-10T13:59:57Z</dcterms:modified>
</cp:coreProperties>
</file>