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7000000">
      <w:pPr>
        <w:pStyle w:val="Style_4"/>
        <w:widowControl w:val="1"/>
        <w:ind w:firstLine="709"/>
        <w:jc w:val="both"/>
      </w:pPr>
      <w:r>
        <w:t xml:space="preserve">Прокуратура </w:t>
      </w:r>
      <w:r>
        <w:t>разъясняет</w:t>
      </w:r>
      <w:r>
        <w:t xml:space="preserve"> как оформить льготы участникам </w:t>
      </w:r>
      <w:r>
        <w:t>СВОи</w:t>
      </w:r>
      <w:r>
        <w:t xml:space="preserve"> членам их семей п</w:t>
      </w:r>
      <w:r>
        <w:t xml:space="preserve">раво на льготы по транспортному, земельному и имущественному налогу </w:t>
      </w:r>
      <w:r>
        <w:t xml:space="preserve">имеют бойцы спецоперации, а также их супруги, родители и дети до 23 лет (ст. </w:t>
      </w:r>
      <w:r>
        <w:t>407 НК РФ).</w:t>
      </w:r>
    </w:p>
    <w:p w14:paraId="28000000">
      <w:pPr>
        <w:pStyle w:val="Style_4"/>
        <w:widowControl w:val="1"/>
        <w:ind w:firstLine="709"/>
        <w:jc w:val="both"/>
      </w:pPr>
      <w:r>
        <w:t xml:space="preserve">Получение вычета на лечение (ст. 219 НК РФ). Чтобы воспользоваться </w:t>
      </w:r>
      <w:r>
        <w:t xml:space="preserve">вычетом, необходимо </w:t>
      </w:r>
      <w:r>
        <w:t>предоставить следующие документы</w:t>
      </w:r>
      <w:r>
        <w:t xml:space="preserve">: </w:t>
      </w:r>
      <w:r>
        <w:t xml:space="preserve">соглашение с медицинским учреждением; </w:t>
      </w:r>
      <w:r>
        <w:t xml:space="preserve">лицензия клиники; </w:t>
      </w:r>
      <w:r>
        <w:t xml:space="preserve">платежные квитанции; </w:t>
      </w:r>
      <w:r>
        <w:t>заполненная налоговая декларация по форме 3-НДФЛ.</w:t>
      </w:r>
    </w:p>
    <w:p w14:paraId="29000000">
      <w:pPr>
        <w:pStyle w:val="Style_4"/>
        <w:widowControl w:val="1"/>
        <w:ind w:firstLine="709"/>
        <w:jc w:val="both"/>
      </w:pPr>
      <w:r>
        <w:t xml:space="preserve">Также имеется возможность подачи декларации через «Личный кабинет </w:t>
      </w:r>
      <w:r>
        <w:t xml:space="preserve">налогоплательщика для физических лиц» на сайте ФНС. В частности, ресурс </w:t>
      </w:r>
      <w:r>
        <w:t xml:space="preserve">позволяет: </w:t>
      </w:r>
      <w:r>
        <w:t xml:space="preserve">заполнить ее в интерактивном режиме с подсказками; </w:t>
      </w:r>
      <w:r>
        <w:t xml:space="preserve">приложить к ней цифровые копии документов; </w:t>
      </w:r>
      <w:r>
        <w:t xml:space="preserve">следить за статусом камеральной проверки; </w:t>
      </w:r>
      <w:r>
        <w:t xml:space="preserve">получить налоговый вычет на счет в банке без личного посещения налогового </w:t>
      </w:r>
      <w:r>
        <w:t xml:space="preserve">органа. </w:t>
      </w:r>
    </w:p>
    <w:p w14:paraId="2A000000">
      <w:pPr>
        <w:pStyle w:val="Style_4"/>
        <w:widowControl w:val="1"/>
        <w:ind w:firstLine="709"/>
        <w:jc w:val="both"/>
      </w:pPr>
      <w:r>
        <w:t xml:space="preserve">Такой социальный вычет может получить гражданин, оплативший: </w:t>
      </w:r>
      <w:r>
        <w:t xml:space="preserve">медицинские услуги, которые были оказаны ему самому или его супругу </w:t>
      </w:r>
      <w:r>
        <w:t xml:space="preserve">(супруге), а также родителям и детям (в том числе усыновленным) до 18 лет </w:t>
      </w:r>
      <w:r>
        <w:t xml:space="preserve">или до 24 лет, если они проходят обучение в очной форме и подопечным </w:t>
      </w:r>
      <w:r>
        <w:t xml:space="preserve">до </w:t>
      </w:r>
      <w:r>
        <w:t xml:space="preserve">18 лет; </w:t>
      </w:r>
      <w:r>
        <w:t xml:space="preserve">счет за лекарства, которые назначил врач (в том числе и для членов семьи); </w:t>
      </w:r>
      <w:r>
        <w:t xml:space="preserve">взносы по договору добровольного медицинского страхования, который был </w:t>
      </w:r>
      <w:r>
        <w:t>заключен</w:t>
      </w:r>
      <w:r>
        <w:t xml:space="preserve"> для лечения себя или членов семьи.</w:t>
      </w:r>
    </w:p>
    <w:p w14:paraId="2B000000">
      <w:pPr>
        <w:pStyle w:val="Style_4"/>
        <w:widowControl w:val="1"/>
        <w:ind w:firstLine="709"/>
        <w:jc w:val="both"/>
      </w:pPr>
      <w:r>
        <w:t xml:space="preserve">Это налоговое послабление выделяется в размере </w:t>
      </w:r>
      <w:r>
        <w:t>затраченных</w:t>
      </w:r>
      <w:r>
        <w:t xml:space="preserve"> на лечение </w:t>
      </w:r>
      <w:r>
        <w:t xml:space="preserve">средств, но не более 150 тыс. руб. Однако при оплате дорогостоящего лечения </w:t>
      </w:r>
      <w:r>
        <w:t xml:space="preserve">его сумма увеличивается до фактического размера расходов (без учета </w:t>
      </w:r>
      <w:r>
        <w:t>вышеуказанного ограничения).</w:t>
      </w:r>
    </w:p>
    <w:p w14:paraId="2C000000">
      <w:pPr>
        <w:pStyle w:val="Style_4"/>
        <w:widowControl w:val="1"/>
        <w:ind w:firstLine="709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0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1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2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3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4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5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3" w:type="paragraph">
    <w:name w:val="Обычный1"/>
    <w:link w:val="Style_13_ch"/>
    <w:rPr>
      <w:rFonts w:ascii="Times New Roman" w:hAnsi="Times New Roman"/>
      <w:sz w:val="28"/>
    </w:rPr>
  </w:style>
  <w:style w:styleId="Style_13_ch" w:type="character">
    <w:name w:val="Обычный1"/>
    <w:link w:val="Style_13"/>
    <w:rPr>
      <w:rFonts w:ascii="Times New Roman" w:hAnsi="Times New Roman"/>
      <w:sz w:val="28"/>
    </w:rPr>
  </w:style>
  <w:style w:styleId="Style_14" w:type="paragraph">
    <w:name w:val="Основной шрифт абзаца1"/>
    <w:link w:val="Style_14_ch"/>
  </w:style>
  <w:style w:styleId="Style_14_ch" w:type="character">
    <w:name w:val="Основной шрифт абзаца1"/>
    <w:link w:val="Style_14"/>
  </w:style>
  <w:style w:styleId="Style_15" w:type="paragraph">
    <w:name w:val="Balloon Text"/>
    <w:basedOn w:val="Style_4"/>
    <w:link w:val="Style_15_ch"/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toc 3"/>
    <w:next w:val="Style_4"/>
    <w:link w:val="Style_16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heading 5"/>
    <w:next w:val="Style_4"/>
    <w:link w:val="Style_18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19" w:type="paragraph">
    <w:name w:val="Обычный12"/>
    <w:link w:val="Style_19_ch"/>
    <w:rPr>
      <w:rFonts w:ascii="Times New Roman" w:hAnsi="Times New Roman"/>
      <w:sz w:val="28"/>
    </w:rPr>
  </w:style>
  <w:style w:styleId="Style_19_ch" w:type="character">
    <w:name w:val="Обычный12"/>
    <w:link w:val="Style_19"/>
    <w:rPr>
      <w:rFonts w:ascii="Times New Roman" w:hAnsi="Times New Roman"/>
      <w:sz w:val="28"/>
    </w:rPr>
  </w:style>
  <w:style w:styleId="Style_20" w:type="paragraph">
    <w:name w:val="Основной шрифт абзаца2"/>
    <w:link w:val="Style_20_ch"/>
  </w:style>
  <w:style w:styleId="Style_20_ch" w:type="character">
    <w:name w:val="Основной шрифт абзаца2"/>
    <w:link w:val="Style_20"/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4"/>
    <w:link w:val="Style_23_ch"/>
    <w:uiPriority w:val="39"/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widowControl w:val="0"/>
      <w:ind/>
      <w:jc w:val="both"/>
    </w:pPr>
    <w:rPr>
      <w:rFonts w:ascii="XO Thames" w:hAnsi="XO Thames"/>
    </w:rPr>
  </w:style>
  <w:style w:styleId="Style_24_ch" w:type="character">
    <w:name w:val="Header and Footer"/>
    <w:link w:val="Style_24"/>
    <w:rPr>
      <w:rFonts w:ascii="XO Thames" w:hAnsi="XO Thames"/>
    </w:rPr>
  </w:style>
  <w:style w:styleId="Style_25" w:type="paragraph">
    <w:name w:val="header"/>
    <w:basedOn w:val="Style_4"/>
    <w:link w:val="Style_25_ch"/>
    <w:pPr>
      <w:widowControl w:val="0"/>
      <w:tabs>
        <w:tab w:leader="none" w:pos="4677" w:val="center"/>
        <w:tab w:leader="none" w:pos="9355" w:val="right"/>
      </w:tabs>
      <w:ind/>
    </w:pPr>
  </w:style>
  <w:style w:styleId="Style_25_ch" w:type="character">
    <w:name w:val="header"/>
    <w:basedOn w:val="Style_4_ch"/>
    <w:link w:val="Style_25"/>
  </w:style>
  <w:style w:styleId="Style_26" w:type="paragraph">
    <w:name w:val="toc 9"/>
    <w:next w:val="Style_4"/>
    <w:link w:val="Style_26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27" w:type="paragraph">
    <w:name w:val="toc 8"/>
    <w:next w:val="Style_4"/>
    <w:link w:val="Style_27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Основной шрифт абзаца1"/>
    <w:link w:val="Style_28_ch"/>
  </w:style>
  <w:style w:styleId="Style_28_ch" w:type="character">
    <w:name w:val="Основной шрифт абзаца1"/>
    <w:link w:val="Style_28"/>
  </w:style>
  <w:style w:styleId="Style_29" w:type="paragraph">
    <w:name w:val="toc 5"/>
    <w:next w:val="Style_4"/>
    <w:link w:val="Style_29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Гиперссылка2"/>
    <w:link w:val="Style_30_ch"/>
    <w:rPr>
      <w:color w:val="0000FF"/>
      <w:u w:val="single"/>
    </w:rPr>
  </w:style>
  <w:style w:styleId="Style_30_ch" w:type="character">
    <w:name w:val="Гиперссылка2"/>
    <w:link w:val="Style_30"/>
    <w:rPr>
      <w:color w:val="0000FF"/>
      <w:u w:val="single"/>
    </w:rPr>
  </w:style>
  <w:style w:styleId="Style_31" w:type="paragraph">
    <w:name w:val="Гиперссылка1"/>
    <w:link w:val="Style_31_ch"/>
    <w:rPr>
      <w:color w:val="0000FF"/>
      <w:u w:val="single"/>
    </w:rPr>
  </w:style>
  <w:style w:styleId="Style_31_ch" w:type="character">
    <w:name w:val="Гиперссылка1"/>
    <w:link w:val="Style_31"/>
    <w:rPr>
      <w:color w:val="0000FF"/>
      <w:u w:val="single"/>
    </w:rPr>
  </w:style>
  <w:style w:styleId="Style_32" w:type="paragraph">
    <w:name w:val="Subtitle"/>
    <w:next w:val="Style_4"/>
    <w:link w:val="Style_3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Обычный1"/>
    <w:link w:val="Style_33_ch"/>
    <w:rPr>
      <w:rFonts w:ascii="Times New Roman" w:hAnsi="Times New Roman"/>
      <w:sz w:val="28"/>
    </w:rPr>
  </w:style>
  <w:style w:styleId="Style_33_ch" w:type="character">
    <w:name w:val="Обычный1"/>
    <w:link w:val="Style_33"/>
    <w:rPr>
      <w:rFonts w:ascii="Times New Roman" w:hAnsi="Times New Roman"/>
      <w:sz w:val="28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5" w:type="paragraph">
    <w:name w:val="heading 2"/>
    <w:next w:val="Style_4"/>
    <w:link w:val="Style_3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36" w:type="paragraph">
    <w:name w:val="Гиперссылка2"/>
    <w:link w:val="Style_36_ch"/>
    <w:rPr>
      <w:color w:val="0000FF"/>
      <w:u w:val="single"/>
    </w:rPr>
  </w:style>
  <w:style w:styleId="Style_36_ch" w:type="character">
    <w:name w:val="Гиперссылка2"/>
    <w:link w:val="Style_36"/>
    <w:rPr>
      <w:color w:val="0000FF"/>
      <w:u w:val="single"/>
    </w:rPr>
  </w:style>
  <w:style w:styleId="Style_37" w:type="paragraph">
    <w:name w:val="Замещающий текст1"/>
    <w:basedOn w:val="Style_28"/>
    <w:link w:val="Style_37_ch"/>
    <w:rPr>
      <w:color w:val="808080"/>
    </w:rPr>
  </w:style>
  <w:style w:styleId="Style_37_ch" w:type="character">
    <w:name w:val="Замещающий текст1"/>
    <w:basedOn w:val="Style_28_ch"/>
    <w:link w:val="Style_37"/>
    <w:rPr>
      <w:color w:val="80808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2026-05-27T07:48:20Z</dcterms:modified>
</cp:coreProperties>
</file>