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AF8" w:rsidRPr="00B92400" w:rsidRDefault="00B92349" w:rsidP="001C68AC">
      <w:pPr>
        <w:pStyle w:val="a3"/>
        <w:ind w:right="147"/>
        <w:jc w:val="right"/>
        <w:rPr>
          <w:color w:val="000009"/>
          <w:sz w:val="24"/>
        </w:rPr>
      </w:pPr>
      <w:r w:rsidRPr="00B92400">
        <w:rPr>
          <w:color w:val="000009"/>
          <w:sz w:val="24"/>
        </w:rPr>
        <w:t>Приложение</w:t>
      </w:r>
      <w:r w:rsidRPr="00B92400">
        <w:rPr>
          <w:color w:val="000009"/>
          <w:spacing w:val="-1"/>
          <w:sz w:val="24"/>
        </w:rPr>
        <w:t xml:space="preserve"> </w:t>
      </w:r>
      <w:r w:rsidRPr="00B92400">
        <w:rPr>
          <w:color w:val="000009"/>
          <w:sz w:val="24"/>
        </w:rPr>
        <w:t>1</w:t>
      </w:r>
    </w:p>
    <w:p w:rsidR="001C68AC" w:rsidRPr="00B92400" w:rsidRDefault="001C68AC" w:rsidP="001C68AC">
      <w:pPr>
        <w:pStyle w:val="a3"/>
        <w:ind w:right="147"/>
        <w:jc w:val="right"/>
        <w:rPr>
          <w:color w:val="000009"/>
          <w:sz w:val="24"/>
        </w:rPr>
      </w:pPr>
      <w:r w:rsidRPr="00B92400">
        <w:rPr>
          <w:color w:val="000009"/>
          <w:sz w:val="24"/>
        </w:rPr>
        <w:t>к распоряжению администрации</w:t>
      </w:r>
    </w:p>
    <w:p w:rsidR="001C68AC" w:rsidRPr="00B92400" w:rsidRDefault="001C68AC" w:rsidP="001C68AC">
      <w:pPr>
        <w:pStyle w:val="a3"/>
        <w:ind w:right="147"/>
        <w:jc w:val="right"/>
        <w:rPr>
          <w:color w:val="000009"/>
          <w:sz w:val="24"/>
        </w:rPr>
      </w:pPr>
      <w:r w:rsidRPr="00B92400">
        <w:rPr>
          <w:color w:val="000009"/>
          <w:sz w:val="24"/>
        </w:rPr>
        <w:t>Зубово-Полянского муниципального района</w:t>
      </w:r>
    </w:p>
    <w:p w:rsidR="001C68AC" w:rsidRPr="00365340" w:rsidRDefault="005569C2" w:rsidP="001C68AC">
      <w:pPr>
        <w:pStyle w:val="a3"/>
        <w:ind w:right="147"/>
        <w:jc w:val="right"/>
        <w:rPr>
          <w:sz w:val="24"/>
          <w:u w:val="single"/>
        </w:rPr>
      </w:pPr>
      <w:r w:rsidRPr="00B92400">
        <w:rPr>
          <w:color w:val="000009"/>
          <w:sz w:val="24"/>
        </w:rPr>
        <w:t xml:space="preserve">           </w:t>
      </w:r>
      <w:r w:rsidR="001C68AC" w:rsidRPr="00B92400">
        <w:rPr>
          <w:color w:val="000009"/>
          <w:sz w:val="24"/>
        </w:rPr>
        <w:t>от «</w:t>
      </w:r>
      <w:r w:rsidR="00365340" w:rsidRPr="00365340">
        <w:rPr>
          <w:color w:val="000009"/>
          <w:sz w:val="24"/>
          <w:u w:val="single"/>
        </w:rPr>
        <w:t>25</w:t>
      </w:r>
      <w:r w:rsidR="001C68AC" w:rsidRPr="00B92400">
        <w:rPr>
          <w:color w:val="000009"/>
          <w:sz w:val="24"/>
        </w:rPr>
        <w:t>»</w:t>
      </w:r>
      <w:r w:rsidR="00365340">
        <w:rPr>
          <w:color w:val="000009"/>
          <w:sz w:val="24"/>
        </w:rPr>
        <w:t xml:space="preserve"> </w:t>
      </w:r>
      <w:r w:rsidR="00365340" w:rsidRPr="00365340">
        <w:rPr>
          <w:color w:val="000009"/>
          <w:sz w:val="24"/>
          <w:u w:val="single"/>
        </w:rPr>
        <w:t>ноября</w:t>
      </w:r>
      <w:r w:rsidR="001C68AC" w:rsidRPr="00B92400">
        <w:rPr>
          <w:color w:val="000009"/>
          <w:sz w:val="24"/>
        </w:rPr>
        <w:t xml:space="preserve"> 202</w:t>
      </w:r>
      <w:r w:rsidR="0076760E" w:rsidRPr="00B92400">
        <w:rPr>
          <w:color w:val="000009"/>
          <w:sz w:val="24"/>
        </w:rPr>
        <w:t>2</w:t>
      </w:r>
      <w:r w:rsidR="001C68AC" w:rsidRPr="00B92400">
        <w:rPr>
          <w:color w:val="000009"/>
          <w:sz w:val="24"/>
        </w:rPr>
        <w:t xml:space="preserve"> г. №  </w:t>
      </w:r>
      <w:r w:rsidR="00365340" w:rsidRPr="00365340">
        <w:rPr>
          <w:color w:val="000009"/>
          <w:sz w:val="24"/>
          <w:u w:val="single"/>
        </w:rPr>
        <w:t>162-р</w:t>
      </w: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rPr>
          <w:sz w:val="30"/>
        </w:rPr>
      </w:pPr>
    </w:p>
    <w:p w:rsidR="000A2AF8" w:rsidRPr="00B92400" w:rsidRDefault="000A2AF8">
      <w:pPr>
        <w:pStyle w:val="a3"/>
        <w:spacing w:before="1"/>
        <w:rPr>
          <w:sz w:val="24"/>
        </w:rPr>
      </w:pPr>
    </w:p>
    <w:p w:rsidR="000A2AF8" w:rsidRPr="00B92400" w:rsidRDefault="00B92349">
      <w:pPr>
        <w:pStyle w:val="Heading1"/>
        <w:spacing w:before="1" w:line="322" w:lineRule="exact"/>
        <w:ind w:left="1287" w:right="1087"/>
      </w:pPr>
      <w:r w:rsidRPr="00B92400">
        <w:rPr>
          <w:color w:val="000009"/>
        </w:rPr>
        <w:t>ПРОГРАММА</w:t>
      </w:r>
      <w:r w:rsidRPr="00B92400">
        <w:rPr>
          <w:color w:val="000009"/>
          <w:spacing w:val="-2"/>
        </w:rPr>
        <w:t xml:space="preserve"> </w:t>
      </w:r>
      <w:r w:rsidRPr="00B92400">
        <w:rPr>
          <w:color w:val="000009"/>
        </w:rPr>
        <w:t>ОБУЧЕНИЯ</w:t>
      </w:r>
    </w:p>
    <w:p w:rsidR="000A2AF8" w:rsidRPr="00B92400" w:rsidRDefault="00B92349">
      <w:pPr>
        <w:ind w:left="1285" w:right="1087"/>
        <w:jc w:val="center"/>
        <w:rPr>
          <w:b/>
          <w:sz w:val="28"/>
        </w:rPr>
      </w:pPr>
      <w:r w:rsidRPr="00B92400">
        <w:rPr>
          <w:b/>
          <w:color w:val="000009"/>
          <w:sz w:val="28"/>
        </w:rPr>
        <w:t>ПО КУРСУ «СОДЕЙСТВИЕ РАЗВИТИЮ КОНКУРЕНЦИИ</w:t>
      </w:r>
      <w:r w:rsidRPr="00B92400">
        <w:rPr>
          <w:b/>
          <w:color w:val="000009"/>
          <w:spacing w:val="-67"/>
          <w:sz w:val="28"/>
        </w:rPr>
        <w:t xml:space="preserve"> </w:t>
      </w:r>
      <w:r w:rsidRPr="00B92400">
        <w:rPr>
          <w:b/>
          <w:color w:val="000009"/>
          <w:sz w:val="28"/>
        </w:rPr>
        <w:t>В</w:t>
      </w:r>
      <w:r w:rsidRPr="00B92400">
        <w:rPr>
          <w:b/>
          <w:color w:val="000009"/>
          <w:spacing w:val="-1"/>
          <w:sz w:val="28"/>
        </w:rPr>
        <w:t xml:space="preserve"> </w:t>
      </w:r>
      <w:r w:rsidRPr="00B92400">
        <w:rPr>
          <w:b/>
          <w:color w:val="000009"/>
          <w:sz w:val="28"/>
        </w:rPr>
        <w:t>РЕСПУБЛИКЕ</w:t>
      </w:r>
      <w:r w:rsidRPr="00B92400">
        <w:rPr>
          <w:b/>
          <w:color w:val="000009"/>
          <w:spacing w:val="-3"/>
          <w:sz w:val="28"/>
        </w:rPr>
        <w:t xml:space="preserve"> </w:t>
      </w:r>
      <w:r w:rsidRPr="00B92400">
        <w:rPr>
          <w:b/>
          <w:color w:val="000009"/>
          <w:sz w:val="28"/>
        </w:rPr>
        <w:t>МОРДОВИЯ»</w:t>
      </w:r>
      <w:r w:rsidRPr="00B92400">
        <w:rPr>
          <w:b/>
          <w:color w:val="000009"/>
          <w:spacing w:val="1"/>
          <w:sz w:val="28"/>
        </w:rPr>
        <w:t xml:space="preserve"> </w:t>
      </w:r>
      <w:r w:rsidRPr="00B92400">
        <w:rPr>
          <w:b/>
          <w:color w:val="000009"/>
          <w:sz w:val="28"/>
        </w:rPr>
        <w:t>в</w:t>
      </w:r>
      <w:r w:rsidRPr="00B92400">
        <w:rPr>
          <w:b/>
          <w:color w:val="000009"/>
          <w:spacing w:val="-1"/>
          <w:sz w:val="28"/>
        </w:rPr>
        <w:t xml:space="preserve"> </w:t>
      </w:r>
      <w:r w:rsidRPr="00B92400">
        <w:rPr>
          <w:b/>
          <w:color w:val="000009"/>
          <w:sz w:val="28"/>
        </w:rPr>
        <w:t>202</w:t>
      </w:r>
      <w:r w:rsidR="0076760E" w:rsidRPr="00B92400">
        <w:rPr>
          <w:b/>
          <w:color w:val="000009"/>
          <w:sz w:val="28"/>
        </w:rPr>
        <w:t>2</w:t>
      </w:r>
      <w:r w:rsidRPr="00B92400">
        <w:rPr>
          <w:b/>
          <w:color w:val="000009"/>
          <w:spacing w:val="1"/>
          <w:sz w:val="28"/>
        </w:rPr>
        <w:t xml:space="preserve"> </w:t>
      </w:r>
      <w:r w:rsidRPr="00B92400">
        <w:rPr>
          <w:b/>
          <w:color w:val="000009"/>
          <w:sz w:val="28"/>
        </w:rPr>
        <w:t>году</w:t>
      </w:r>
    </w:p>
    <w:p w:rsidR="000A2AF8" w:rsidRPr="00B92400" w:rsidRDefault="00B92349">
      <w:pPr>
        <w:spacing w:line="269" w:lineRule="exact"/>
        <w:ind w:left="369" w:right="178"/>
        <w:jc w:val="center"/>
        <w:rPr>
          <w:sz w:val="24"/>
        </w:rPr>
      </w:pPr>
      <w:r w:rsidRPr="00B92400">
        <w:rPr>
          <w:color w:val="000009"/>
          <w:sz w:val="24"/>
        </w:rPr>
        <w:t>(разработана</w:t>
      </w:r>
      <w:r w:rsidRPr="00B92400">
        <w:rPr>
          <w:color w:val="000009"/>
          <w:spacing w:val="-4"/>
          <w:sz w:val="24"/>
        </w:rPr>
        <w:t xml:space="preserve"> </w:t>
      </w:r>
      <w:r w:rsidRPr="00B92400">
        <w:rPr>
          <w:color w:val="000009"/>
          <w:sz w:val="24"/>
        </w:rPr>
        <w:t>для</w:t>
      </w:r>
      <w:r w:rsidRPr="00B92400">
        <w:rPr>
          <w:color w:val="000009"/>
          <w:spacing w:val="-2"/>
          <w:sz w:val="24"/>
        </w:rPr>
        <w:t xml:space="preserve"> </w:t>
      </w:r>
      <w:r w:rsidRPr="00B92400">
        <w:rPr>
          <w:color w:val="000009"/>
          <w:sz w:val="24"/>
        </w:rPr>
        <w:t>проведения</w:t>
      </w:r>
      <w:r w:rsidRPr="00B92400">
        <w:rPr>
          <w:color w:val="000009"/>
          <w:spacing w:val="-2"/>
          <w:sz w:val="24"/>
        </w:rPr>
        <w:t xml:space="preserve"> </w:t>
      </w:r>
      <w:r w:rsidRPr="00B92400">
        <w:rPr>
          <w:color w:val="000009"/>
          <w:sz w:val="24"/>
        </w:rPr>
        <w:t>обучающих</w:t>
      </w:r>
      <w:r w:rsidRPr="00B92400">
        <w:rPr>
          <w:color w:val="000009"/>
          <w:spacing w:val="-1"/>
          <w:sz w:val="24"/>
        </w:rPr>
        <w:t xml:space="preserve"> </w:t>
      </w:r>
      <w:r w:rsidRPr="00B92400">
        <w:rPr>
          <w:color w:val="000009"/>
          <w:sz w:val="24"/>
        </w:rPr>
        <w:t>тренингов,</w:t>
      </w:r>
      <w:r w:rsidRPr="00B92400">
        <w:rPr>
          <w:color w:val="000009"/>
          <w:spacing w:val="-3"/>
          <w:sz w:val="24"/>
        </w:rPr>
        <w:t xml:space="preserve"> </w:t>
      </w:r>
      <w:r w:rsidRPr="00B92400">
        <w:rPr>
          <w:color w:val="000009"/>
          <w:sz w:val="24"/>
        </w:rPr>
        <w:t>в</w:t>
      </w:r>
      <w:r w:rsidRPr="00B92400">
        <w:rPr>
          <w:color w:val="000009"/>
          <w:spacing w:val="-3"/>
          <w:sz w:val="24"/>
        </w:rPr>
        <w:t xml:space="preserve"> </w:t>
      </w:r>
      <w:r w:rsidRPr="00B92400">
        <w:rPr>
          <w:color w:val="000009"/>
          <w:sz w:val="24"/>
        </w:rPr>
        <w:t>том</w:t>
      </w:r>
      <w:r w:rsidRPr="00B92400">
        <w:rPr>
          <w:color w:val="000009"/>
          <w:spacing w:val="-4"/>
          <w:sz w:val="24"/>
        </w:rPr>
        <w:t xml:space="preserve"> </w:t>
      </w:r>
      <w:r w:rsidRPr="00B92400">
        <w:rPr>
          <w:color w:val="000009"/>
          <w:sz w:val="24"/>
        </w:rPr>
        <w:t>числе</w:t>
      </w:r>
      <w:r w:rsidRPr="00B92400">
        <w:rPr>
          <w:color w:val="000009"/>
          <w:spacing w:val="-3"/>
          <w:sz w:val="24"/>
        </w:rPr>
        <w:t xml:space="preserve"> </w:t>
      </w:r>
      <w:r w:rsidRPr="00B92400">
        <w:rPr>
          <w:color w:val="000009"/>
          <w:sz w:val="24"/>
        </w:rPr>
        <w:t>с</w:t>
      </w:r>
      <w:r w:rsidRPr="00B92400">
        <w:rPr>
          <w:color w:val="000009"/>
          <w:spacing w:val="-3"/>
          <w:sz w:val="24"/>
        </w:rPr>
        <w:t xml:space="preserve"> </w:t>
      </w:r>
      <w:r w:rsidRPr="00B92400">
        <w:rPr>
          <w:color w:val="000009"/>
          <w:sz w:val="24"/>
        </w:rPr>
        <w:t>применением</w:t>
      </w:r>
    </w:p>
    <w:p w:rsidR="000A2AF8" w:rsidRPr="00B92400" w:rsidRDefault="00B92349">
      <w:pPr>
        <w:ind w:left="375" w:right="178"/>
        <w:jc w:val="center"/>
        <w:rPr>
          <w:sz w:val="24"/>
        </w:rPr>
      </w:pPr>
      <w:r w:rsidRPr="00B92400">
        <w:rPr>
          <w:color w:val="000009"/>
          <w:sz w:val="24"/>
        </w:rPr>
        <w:t>дистанционных технологий, органов местного самоуправления, специалистов органов</w:t>
      </w:r>
      <w:r w:rsidRPr="00B92400">
        <w:rPr>
          <w:color w:val="000009"/>
          <w:spacing w:val="-57"/>
          <w:sz w:val="24"/>
        </w:rPr>
        <w:t xml:space="preserve"> </w:t>
      </w:r>
      <w:r w:rsidRPr="00B92400">
        <w:rPr>
          <w:color w:val="000009"/>
          <w:sz w:val="24"/>
        </w:rPr>
        <w:t>исполнительной</w:t>
      </w:r>
      <w:r w:rsidRPr="00B92400">
        <w:rPr>
          <w:color w:val="000009"/>
          <w:spacing w:val="-1"/>
          <w:sz w:val="24"/>
        </w:rPr>
        <w:t xml:space="preserve"> </w:t>
      </w:r>
      <w:r w:rsidRPr="00B92400">
        <w:rPr>
          <w:color w:val="000009"/>
          <w:sz w:val="24"/>
        </w:rPr>
        <w:t>власти</w:t>
      </w:r>
      <w:r w:rsidRPr="00B92400">
        <w:rPr>
          <w:color w:val="000009"/>
          <w:spacing w:val="-3"/>
          <w:sz w:val="24"/>
        </w:rPr>
        <w:t xml:space="preserve"> </w:t>
      </w:r>
      <w:r w:rsidRPr="00B92400">
        <w:rPr>
          <w:color w:val="000009"/>
          <w:sz w:val="24"/>
        </w:rPr>
        <w:t>и</w:t>
      </w:r>
      <w:r w:rsidRPr="00B92400">
        <w:rPr>
          <w:color w:val="000009"/>
          <w:spacing w:val="-1"/>
          <w:sz w:val="24"/>
        </w:rPr>
        <w:t xml:space="preserve"> </w:t>
      </w:r>
      <w:r w:rsidRPr="00B92400">
        <w:rPr>
          <w:color w:val="000009"/>
          <w:sz w:val="24"/>
        </w:rPr>
        <w:t>иных</w:t>
      </w:r>
      <w:r w:rsidRPr="00B92400">
        <w:rPr>
          <w:color w:val="000009"/>
          <w:spacing w:val="1"/>
          <w:sz w:val="24"/>
        </w:rPr>
        <w:t xml:space="preserve"> </w:t>
      </w:r>
      <w:r w:rsidRPr="00B92400">
        <w:rPr>
          <w:color w:val="000009"/>
          <w:sz w:val="24"/>
        </w:rPr>
        <w:t>организаций в</w:t>
      </w:r>
      <w:r w:rsidRPr="00B92400">
        <w:rPr>
          <w:color w:val="000009"/>
          <w:spacing w:val="-4"/>
          <w:sz w:val="24"/>
        </w:rPr>
        <w:t xml:space="preserve"> </w:t>
      </w:r>
      <w:r w:rsidRPr="00B92400">
        <w:rPr>
          <w:color w:val="000009"/>
          <w:sz w:val="24"/>
        </w:rPr>
        <w:t>Республике</w:t>
      </w:r>
      <w:r w:rsidRPr="00B92400">
        <w:rPr>
          <w:color w:val="000009"/>
          <w:spacing w:val="-2"/>
          <w:sz w:val="24"/>
        </w:rPr>
        <w:t xml:space="preserve"> </w:t>
      </w:r>
      <w:r w:rsidRPr="00B92400">
        <w:rPr>
          <w:color w:val="000009"/>
          <w:sz w:val="24"/>
        </w:rPr>
        <w:t>Мордовия)</w:t>
      </w: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0A2AF8">
      <w:pPr>
        <w:pStyle w:val="a3"/>
        <w:rPr>
          <w:sz w:val="26"/>
        </w:rPr>
      </w:pPr>
    </w:p>
    <w:p w:rsidR="000A2AF8" w:rsidRPr="00B92400" w:rsidRDefault="00B92349">
      <w:pPr>
        <w:pStyle w:val="Heading1"/>
        <w:spacing w:before="190"/>
        <w:ind w:left="1289" w:right="1087"/>
      </w:pPr>
      <w:r w:rsidRPr="00B92400">
        <w:rPr>
          <w:color w:val="000009"/>
        </w:rPr>
        <w:t>Саранск</w:t>
      </w:r>
      <w:r w:rsidRPr="00B92400">
        <w:rPr>
          <w:color w:val="000009"/>
          <w:spacing w:val="-4"/>
        </w:rPr>
        <w:t xml:space="preserve"> </w:t>
      </w:r>
      <w:r w:rsidRPr="00B92400">
        <w:rPr>
          <w:color w:val="000009"/>
        </w:rPr>
        <w:t>202</w:t>
      </w:r>
      <w:r w:rsidR="0076760E" w:rsidRPr="00B92400">
        <w:rPr>
          <w:color w:val="000009"/>
        </w:rPr>
        <w:t>2</w:t>
      </w:r>
      <w:r w:rsidRPr="00B92400">
        <w:rPr>
          <w:color w:val="000009"/>
          <w:spacing w:val="-1"/>
        </w:rPr>
        <w:t xml:space="preserve"> </w:t>
      </w:r>
      <w:r w:rsidRPr="00B92400">
        <w:rPr>
          <w:color w:val="000009"/>
        </w:rPr>
        <w:t>г.</w:t>
      </w:r>
    </w:p>
    <w:p w:rsidR="000A2AF8" w:rsidRPr="00B92400" w:rsidRDefault="000A2AF8">
      <w:pPr>
        <w:sectPr w:rsidR="000A2AF8" w:rsidRPr="00B92400">
          <w:type w:val="continuous"/>
          <w:pgSz w:w="11910" w:h="16840"/>
          <w:pgMar w:top="900" w:right="980" w:bottom="280" w:left="780" w:header="720" w:footer="720" w:gutter="0"/>
          <w:cols w:space="720"/>
        </w:sectPr>
      </w:pPr>
    </w:p>
    <w:p w:rsidR="000A2AF8" w:rsidRPr="00B92400" w:rsidRDefault="00B92349">
      <w:pPr>
        <w:pStyle w:val="a3"/>
        <w:spacing w:before="71"/>
        <w:ind w:left="1289" w:right="234"/>
        <w:jc w:val="center"/>
      </w:pPr>
      <w:r w:rsidRPr="00B92400">
        <w:rPr>
          <w:color w:val="000009"/>
        </w:rPr>
        <w:lastRenderedPageBreak/>
        <w:t>СОДЕРЖАНИЕ</w:t>
      </w:r>
    </w:p>
    <w:p w:rsidR="000A2AF8" w:rsidRPr="00B92400" w:rsidRDefault="000A2AF8">
      <w:pPr>
        <w:pStyle w:val="a3"/>
        <w:spacing w:before="11"/>
      </w:pPr>
    </w:p>
    <w:tbl>
      <w:tblPr>
        <w:tblStyle w:val="TableNormal"/>
        <w:tblW w:w="0" w:type="auto"/>
        <w:tblInd w:w="616" w:type="dxa"/>
        <w:tblLayout w:type="fixed"/>
        <w:tblLook w:val="01E0"/>
      </w:tblPr>
      <w:tblGrid>
        <w:gridCol w:w="1913"/>
        <w:gridCol w:w="6784"/>
        <w:gridCol w:w="737"/>
      </w:tblGrid>
      <w:tr w:rsidR="000A2AF8" w:rsidRPr="00B92400">
        <w:trPr>
          <w:trHeight w:val="490"/>
        </w:trPr>
        <w:tc>
          <w:tcPr>
            <w:tcW w:w="1913" w:type="dxa"/>
          </w:tcPr>
          <w:p w:rsidR="000A2AF8" w:rsidRPr="00B92400" w:rsidRDefault="00B92349">
            <w:pPr>
              <w:pStyle w:val="TableParagraph"/>
              <w:spacing w:line="311" w:lineRule="exact"/>
              <w:ind w:left="20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ВВЕДЕНИЕ</w:t>
            </w:r>
          </w:p>
        </w:tc>
        <w:tc>
          <w:tcPr>
            <w:tcW w:w="6784" w:type="dxa"/>
          </w:tcPr>
          <w:p w:rsidR="000A2AF8" w:rsidRPr="00B92400" w:rsidRDefault="000A2AF8">
            <w:pPr>
              <w:pStyle w:val="TableParagraph"/>
              <w:spacing w:line="240" w:lineRule="auto"/>
              <w:ind w:left="0"/>
              <w:jc w:val="left"/>
              <w:rPr>
                <w:sz w:val="28"/>
              </w:rPr>
            </w:pPr>
          </w:p>
        </w:tc>
        <w:tc>
          <w:tcPr>
            <w:tcW w:w="737" w:type="dxa"/>
          </w:tcPr>
          <w:p w:rsidR="000A2AF8" w:rsidRPr="00B92400" w:rsidRDefault="00B92349">
            <w:pPr>
              <w:pStyle w:val="TableParagraph"/>
              <w:spacing w:line="311" w:lineRule="exact"/>
              <w:ind w:left="0" w:right="246"/>
              <w:jc w:val="righ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3</w:t>
            </w:r>
          </w:p>
        </w:tc>
      </w:tr>
      <w:tr w:rsidR="000A2AF8" w:rsidRPr="00B92400">
        <w:trPr>
          <w:trHeight w:val="1200"/>
        </w:trPr>
        <w:tc>
          <w:tcPr>
            <w:tcW w:w="1913" w:type="dxa"/>
          </w:tcPr>
          <w:p w:rsidR="000A2AF8" w:rsidRPr="00B92400" w:rsidRDefault="00B92349">
            <w:pPr>
              <w:pStyle w:val="TableParagraph"/>
              <w:spacing w:before="170" w:line="240" w:lineRule="auto"/>
              <w:ind w:left="20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Тема №</w:t>
            </w:r>
            <w:r w:rsidRPr="00B92400">
              <w:rPr>
                <w:color w:val="000009"/>
                <w:spacing w:val="-1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1</w:t>
            </w:r>
          </w:p>
        </w:tc>
        <w:tc>
          <w:tcPr>
            <w:tcW w:w="6784" w:type="dxa"/>
          </w:tcPr>
          <w:p w:rsidR="000A2AF8" w:rsidRPr="00B92400" w:rsidRDefault="00B92349">
            <w:pPr>
              <w:pStyle w:val="TableParagraph"/>
              <w:spacing w:before="170" w:line="322" w:lineRule="exact"/>
              <w:ind w:left="23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Оценка</w:t>
            </w:r>
            <w:r w:rsidRPr="00B92400">
              <w:rPr>
                <w:color w:val="000009"/>
                <w:spacing w:val="-3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состояния</w:t>
            </w:r>
            <w:r w:rsidRPr="00B92400">
              <w:rPr>
                <w:color w:val="000009"/>
                <w:spacing w:val="-3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конкурентной</w:t>
            </w:r>
            <w:r w:rsidRPr="00B92400">
              <w:rPr>
                <w:color w:val="000009"/>
                <w:spacing w:val="-3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среды</w:t>
            </w:r>
            <w:r w:rsidRPr="00B92400">
              <w:rPr>
                <w:color w:val="000009"/>
                <w:spacing w:val="-6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в</w:t>
            </w:r>
          </w:p>
          <w:p w:rsidR="000A2AF8" w:rsidRPr="00B92400" w:rsidRDefault="00B92349" w:rsidP="0076760E">
            <w:pPr>
              <w:pStyle w:val="TableParagraph"/>
              <w:spacing w:line="240" w:lineRule="auto"/>
              <w:ind w:left="23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муниципальных</w:t>
            </w:r>
            <w:r w:rsidRPr="00B92400">
              <w:rPr>
                <w:color w:val="000009"/>
                <w:spacing w:val="-5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районах</w:t>
            </w:r>
            <w:r w:rsidRPr="00B92400">
              <w:rPr>
                <w:color w:val="000009"/>
                <w:spacing w:val="-3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Республики</w:t>
            </w:r>
            <w:r w:rsidRPr="00B92400">
              <w:rPr>
                <w:color w:val="000009"/>
                <w:spacing w:val="-5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Мордовия</w:t>
            </w:r>
            <w:r w:rsidRPr="00B92400">
              <w:rPr>
                <w:color w:val="000009"/>
                <w:spacing w:val="58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и</w:t>
            </w:r>
            <w:r w:rsidRPr="00B92400">
              <w:rPr>
                <w:color w:val="000009"/>
                <w:spacing w:val="-67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городском</w:t>
            </w:r>
            <w:r w:rsidRPr="00B92400">
              <w:rPr>
                <w:color w:val="000009"/>
                <w:spacing w:val="-4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округе</w:t>
            </w:r>
            <w:r w:rsidRPr="00B92400">
              <w:rPr>
                <w:color w:val="000009"/>
                <w:spacing w:val="-2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Саранск</w:t>
            </w:r>
            <w:r w:rsidRPr="00B92400">
              <w:rPr>
                <w:color w:val="000009"/>
                <w:spacing w:val="-1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по</w:t>
            </w:r>
            <w:r w:rsidRPr="00B92400">
              <w:rPr>
                <w:color w:val="000009"/>
                <w:spacing w:val="-4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итогам</w:t>
            </w:r>
            <w:r w:rsidRPr="00B92400">
              <w:rPr>
                <w:color w:val="000009"/>
                <w:spacing w:val="-1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202</w:t>
            </w:r>
            <w:r w:rsidR="0076760E" w:rsidRPr="00B92400">
              <w:rPr>
                <w:color w:val="000009"/>
                <w:sz w:val="28"/>
              </w:rPr>
              <w:t>1</w:t>
            </w:r>
            <w:r w:rsidRPr="00B92400">
              <w:rPr>
                <w:color w:val="000009"/>
                <w:sz w:val="28"/>
              </w:rPr>
              <w:t xml:space="preserve"> года</w:t>
            </w:r>
          </w:p>
        </w:tc>
        <w:tc>
          <w:tcPr>
            <w:tcW w:w="737" w:type="dxa"/>
          </w:tcPr>
          <w:p w:rsidR="000A2AF8" w:rsidRPr="00B92400" w:rsidRDefault="00B92349">
            <w:pPr>
              <w:pStyle w:val="TableParagraph"/>
              <w:spacing w:before="169" w:line="240" w:lineRule="auto"/>
              <w:ind w:left="0" w:right="256"/>
              <w:jc w:val="right"/>
              <w:rPr>
                <w:sz w:val="24"/>
              </w:rPr>
            </w:pPr>
            <w:r w:rsidRPr="00B92400">
              <w:rPr>
                <w:color w:val="000009"/>
                <w:sz w:val="24"/>
              </w:rPr>
              <w:t>4</w:t>
            </w:r>
          </w:p>
        </w:tc>
      </w:tr>
      <w:tr w:rsidR="000A2AF8" w:rsidRPr="00B92400">
        <w:trPr>
          <w:trHeight w:val="1730"/>
        </w:trPr>
        <w:tc>
          <w:tcPr>
            <w:tcW w:w="1913" w:type="dxa"/>
          </w:tcPr>
          <w:p w:rsidR="000A2AF8" w:rsidRPr="00B92400" w:rsidRDefault="00B92349">
            <w:pPr>
              <w:pStyle w:val="TableParagraph"/>
              <w:spacing w:before="55" w:line="240" w:lineRule="auto"/>
              <w:ind w:left="20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Тема №</w:t>
            </w:r>
            <w:r w:rsidRPr="00B92400">
              <w:rPr>
                <w:color w:val="000009"/>
                <w:spacing w:val="-1"/>
                <w:sz w:val="28"/>
              </w:rPr>
              <w:t xml:space="preserve"> </w:t>
            </w:r>
            <w:r w:rsidRPr="00B92400">
              <w:rPr>
                <w:color w:val="000009"/>
                <w:sz w:val="28"/>
              </w:rPr>
              <w:t>2</w:t>
            </w:r>
          </w:p>
        </w:tc>
        <w:tc>
          <w:tcPr>
            <w:tcW w:w="6784" w:type="dxa"/>
          </w:tcPr>
          <w:p w:rsidR="000A2AF8" w:rsidRPr="00B92400" w:rsidRDefault="0076760E">
            <w:pPr>
              <w:pStyle w:val="TableParagraph"/>
              <w:spacing w:before="2" w:line="240" w:lineRule="auto"/>
              <w:ind w:left="230" w:right="1157"/>
              <w:jc w:val="left"/>
              <w:rPr>
                <w:sz w:val="28"/>
              </w:rPr>
            </w:pPr>
            <w:r w:rsidRPr="00B92400">
              <w:rPr>
                <w:sz w:val="28"/>
              </w:rPr>
              <w:t>Синхронизация региональной и муниципальных «дорожных карт» как фактор результативности развития конкуренции в регионе</w:t>
            </w:r>
          </w:p>
        </w:tc>
        <w:tc>
          <w:tcPr>
            <w:tcW w:w="737" w:type="dxa"/>
          </w:tcPr>
          <w:p w:rsidR="000A2AF8" w:rsidRPr="00B92400" w:rsidRDefault="0076760E" w:rsidP="00E95004">
            <w:pPr>
              <w:pStyle w:val="TableParagraph"/>
              <w:spacing w:before="54" w:line="240" w:lineRule="auto"/>
              <w:ind w:left="0" w:right="196"/>
              <w:jc w:val="right"/>
              <w:rPr>
                <w:sz w:val="24"/>
              </w:rPr>
            </w:pPr>
            <w:r w:rsidRPr="00B92400">
              <w:rPr>
                <w:color w:val="000009"/>
                <w:sz w:val="24"/>
              </w:rPr>
              <w:t>1</w:t>
            </w:r>
            <w:r w:rsidR="00E95004">
              <w:rPr>
                <w:color w:val="000009"/>
                <w:sz w:val="24"/>
              </w:rPr>
              <w:t>1</w:t>
            </w:r>
          </w:p>
        </w:tc>
      </w:tr>
      <w:tr w:rsidR="000A2AF8" w:rsidRPr="00B92400">
        <w:trPr>
          <w:trHeight w:val="1086"/>
        </w:trPr>
        <w:tc>
          <w:tcPr>
            <w:tcW w:w="1913" w:type="dxa"/>
          </w:tcPr>
          <w:p w:rsidR="000A2AF8" w:rsidRPr="00B92400" w:rsidRDefault="00B92349">
            <w:pPr>
              <w:pStyle w:val="TableParagraph"/>
              <w:spacing w:before="55" w:line="240" w:lineRule="auto"/>
              <w:ind w:left="200"/>
              <w:jc w:val="left"/>
              <w:rPr>
                <w:sz w:val="28"/>
              </w:rPr>
            </w:pPr>
            <w:r w:rsidRPr="00B92400">
              <w:rPr>
                <w:color w:val="000009"/>
                <w:sz w:val="28"/>
              </w:rPr>
              <w:t>Тема № 3</w:t>
            </w:r>
          </w:p>
        </w:tc>
        <w:tc>
          <w:tcPr>
            <w:tcW w:w="6784" w:type="dxa"/>
          </w:tcPr>
          <w:p w:rsidR="000A2AF8" w:rsidRPr="00B92400" w:rsidRDefault="0076760E">
            <w:pPr>
              <w:pStyle w:val="TableParagraph"/>
              <w:spacing w:line="240" w:lineRule="auto"/>
              <w:ind w:left="230" w:right="750"/>
              <w:jc w:val="left"/>
              <w:rPr>
                <w:sz w:val="28"/>
              </w:rPr>
            </w:pPr>
            <w:r w:rsidRPr="00B92400">
              <w:rPr>
                <w:sz w:val="28"/>
              </w:rPr>
              <w:t>Рекомендации по размещению органами местного самоуправления информации  о деятельности по содействию развитию конкуренции в сети «Интернет»</w:t>
            </w:r>
          </w:p>
        </w:tc>
        <w:tc>
          <w:tcPr>
            <w:tcW w:w="737" w:type="dxa"/>
          </w:tcPr>
          <w:p w:rsidR="000A2AF8" w:rsidRPr="00B92400" w:rsidRDefault="00B92349" w:rsidP="0076760E">
            <w:pPr>
              <w:pStyle w:val="TableParagraph"/>
              <w:spacing w:before="54" w:line="240" w:lineRule="auto"/>
              <w:ind w:left="0" w:right="196"/>
              <w:jc w:val="right"/>
              <w:rPr>
                <w:sz w:val="24"/>
              </w:rPr>
            </w:pPr>
            <w:r w:rsidRPr="00B92400">
              <w:rPr>
                <w:color w:val="000009"/>
                <w:sz w:val="24"/>
              </w:rPr>
              <w:t>1</w:t>
            </w:r>
            <w:r w:rsidR="0076760E" w:rsidRPr="00B92400">
              <w:rPr>
                <w:color w:val="000009"/>
                <w:sz w:val="24"/>
              </w:rPr>
              <w:t>7</w:t>
            </w:r>
          </w:p>
        </w:tc>
      </w:tr>
    </w:tbl>
    <w:p w:rsidR="000A2AF8" w:rsidRPr="00B92400" w:rsidRDefault="000A2AF8">
      <w:pPr>
        <w:rPr>
          <w:sz w:val="28"/>
        </w:rPr>
        <w:sectPr w:rsidR="000A2AF8" w:rsidRPr="00B92400">
          <w:pgSz w:w="11910" w:h="16840"/>
          <w:pgMar w:top="1360" w:right="980" w:bottom="280" w:left="780" w:header="720" w:footer="720" w:gutter="0"/>
          <w:cols w:space="720"/>
        </w:sectPr>
      </w:pPr>
    </w:p>
    <w:p w:rsidR="000A2AF8" w:rsidRPr="00B92400" w:rsidRDefault="000A2AF8">
      <w:pPr>
        <w:pStyle w:val="a3"/>
        <w:spacing w:before="5"/>
        <w:rPr>
          <w:sz w:val="15"/>
        </w:rPr>
      </w:pPr>
    </w:p>
    <w:p w:rsidR="000A2AF8" w:rsidRPr="00B92400" w:rsidRDefault="00B92349">
      <w:pPr>
        <w:spacing w:before="90"/>
        <w:ind w:left="5317" w:right="148" w:firstLine="2227"/>
        <w:jc w:val="right"/>
        <w:rPr>
          <w:i/>
          <w:sz w:val="24"/>
        </w:rPr>
      </w:pPr>
      <w:r w:rsidRPr="00B92400">
        <w:rPr>
          <w:i/>
          <w:color w:val="000009"/>
          <w:sz w:val="24"/>
        </w:rPr>
        <w:t>Настоящая Программа</w:t>
      </w:r>
      <w:r w:rsidRPr="00B92400">
        <w:rPr>
          <w:i/>
          <w:color w:val="000009"/>
          <w:spacing w:val="-57"/>
          <w:sz w:val="24"/>
        </w:rPr>
        <w:t xml:space="preserve"> </w:t>
      </w:r>
      <w:r w:rsidRPr="00B92400">
        <w:rPr>
          <w:i/>
          <w:color w:val="000009"/>
          <w:sz w:val="24"/>
        </w:rPr>
        <w:t>содержит кратко сформулированные</w:t>
      </w:r>
      <w:r w:rsidRPr="00B92400">
        <w:rPr>
          <w:i/>
          <w:color w:val="000009"/>
          <w:spacing w:val="1"/>
          <w:sz w:val="24"/>
        </w:rPr>
        <w:t xml:space="preserve"> </w:t>
      </w:r>
      <w:r w:rsidRPr="00B92400">
        <w:rPr>
          <w:i/>
          <w:color w:val="000009"/>
          <w:sz w:val="24"/>
        </w:rPr>
        <w:t>основные положения (тезисы) деятельности</w:t>
      </w:r>
      <w:r w:rsidRPr="00B92400">
        <w:rPr>
          <w:i/>
          <w:color w:val="000009"/>
          <w:spacing w:val="-57"/>
          <w:sz w:val="24"/>
        </w:rPr>
        <w:t xml:space="preserve"> </w:t>
      </w:r>
      <w:r w:rsidRPr="00B92400">
        <w:rPr>
          <w:i/>
          <w:color w:val="000009"/>
          <w:sz w:val="24"/>
        </w:rPr>
        <w:t>по</w:t>
      </w:r>
      <w:r w:rsidRPr="00B92400">
        <w:rPr>
          <w:i/>
          <w:color w:val="000009"/>
          <w:spacing w:val="-1"/>
          <w:sz w:val="24"/>
        </w:rPr>
        <w:t xml:space="preserve"> </w:t>
      </w:r>
      <w:r w:rsidRPr="00B92400">
        <w:rPr>
          <w:i/>
          <w:color w:val="000009"/>
          <w:sz w:val="24"/>
        </w:rPr>
        <w:t>содействию развитию конкуренции</w:t>
      </w:r>
    </w:p>
    <w:p w:rsidR="000A2AF8" w:rsidRPr="00B92400" w:rsidRDefault="00B92349">
      <w:pPr>
        <w:spacing w:before="1"/>
        <w:ind w:right="151"/>
        <w:jc w:val="right"/>
        <w:rPr>
          <w:i/>
          <w:sz w:val="24"/>
        </w:rPr>
      </w:pPr>
      <w:r w:rsidRPr="00B92400">
        <w:rPr>
          <w:i/>
          <w:color w:val="000009"/>
          <w:sz w:val="24"/>
        </w:rPr>
        <w:t>в</w:t>
      </w:r>
      <w:r w:rsidRPr="00B92400">
        <w:rPr>
          <w:i/>
          <w:color w:val="000009"/>
          <w:spacing w:val="-3"/>
          <w:sz w:val="24"/>
        </w:rPr>
        <w:t xml:space="preserve"> </w:t>
      </w:r>
      <w:r w:rsidRPr="00B92400">
        <w:rPr>
          <w:i/>
          <w:color w:val="000009"/>
          <w:sz w:val="24"/>
        </w:rPr>
        <w:t>Республике</w:t>
      </w:r>
      <w:r w:rsidRPr="00B92400">
        <w:rPr>
          <w:i/>
          <w:color w:val="000009"/>
          <w:spacing w:val="-2"/>
          <w:sz w:val="24"/>
        </w:rPr>
        <w:t xml:space="preserve"> </w:t>
      </w:r>
      <w:r w:rsidRPr="00B92400">
        <w:rPr>
          <w:i/>
          <w:color w:val="000009"/>
          <w:sz w:val="24"/>
        </w:rPr>
        <w:t>Мордовия</w:t>
      </w:r>
    </w:p>
    <w:p w:rsidR="000A2AF8" w:rsidRPr="00B92400" w:rsidRDefault="000A2AF8">
      <w:pPr>
        <w:pStyle w:val="a3"/>
        <w:rPr>
          <w:i/>
          <w:sz w:val="26"/>
        </w:rPr>
      </w:pPr>
    </w:p>
    <w:p w:rsidR="000A2AF8" w:rsidRPr="00B92400" w:rsidRDefault="000A2AF8">
      <w:pPr>
        <w:pStyle w:val="a3"/>
        <w:rPr>
          <w:i/>
          <w:sz w:val="30"/>
        </w:rPr>
      </w:pPr>
    </w:p>
    <w:p w:rsidR="000A2AF8" w:rsidRPr="00B92400" w:rsidRDefault="00B92349" w:rsidP="0061440F">
      <w:pPr>
        <w:pStyle w:val="a3"/>
        <w:ind w:left="567" w:right="224" w:firstLine="709"/>
        <w:jc w:val="center"/>
      </w:pPr>
      <w:r w:rsidRPr="00B92400">
        <w:rPr>
          <w:color w:val="000009"/>
        </w:rPr>
        <w:t>ВВЕДЕНИЕ</w:t>
      </w:r>
    </w:p>
    <w:p w:rsidR="000A2AF8" w:rsidRPr="00B92400" w:rsidRDefault="000A2AF8" w:rsidP="0061440F">
      <w:pPr>
        <w:pStyle w:val="a3"/>
        <w:spacing w:before="11"/>
        <w:ind w:firstLine="709"/>
        <w:rPr>
          <w:sz w:val="27"/>
        </w:rPr>
      </w:pPr>
    </w:p>
    <w:p w:rsidR="002655ED" w:rsidRPr="00B92400" w:rsidRDefault="002655ED" w:rsidP="0061440F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 xml:space="preserve">В целях реализации </w:t>
      </w:r>
      <w:hyperlink r:id="rId7" w:history="1">
        <w:r w:rsidRPr="00B92400">
          <w:rPr>
            <w:rStyle w:val="a5"/>
            <w:color w:val="auto"/>
            <w:sz w:val="28"/>
            <w:szCs w:val="28"/>
          </w:rPr>
          <w:t>Указа</w:t>
        </w:r>
      </w:hyperlink>
      <w:r w:rsidRPr="00B92400">
        <w:rPr>
          <w:sz w:val="28"/>
          <w:szCs w:val="28"/>
        </w:rPr>
        <w:t xml:space="preserve"> Президента Российской Федерации от 21 декабря 2017 г. N 618 "Об основных направлениях государственной политики по развитию конкуренции", </w:t>
      </w:r>
      <w:hyperlink r:id="rId8" w:history="1">
        <w:r w:rsidRPr="00B92400">
          <w:rPr>
            <w:rStyle w:val="a5"/>
            <w:color w:val="auto"/>
            <w:sz w:val="28"/>
            <w:szCs w:val="28"/>
          </w:rPr>
          <w:t>Национального плана</w:t>
        </w:r>
      </w:hyperlink>
      <w:r w:rsidRPr="00B92400">
        <w:rPr>
          <w:sz w:val="28"/>
          <w:szCs w:val="28"/>
        </w:rPr>
        <w:t xml:space="preserve"> развития конкуренции в Российской Федерации на 2021 - 2025 годы, </w:t>
      </w:r>
      <w:hyperlink r:id="rId9" w:history="1">
        <w:r w:rsidRPr="00B92400">
          <w:rPr>
            <w:rStyle w:val="a5"/>
            <w:color w:val="auto"/>
            <w:sz w:val="28"/>
            <w:szCs w:val="28"/>
          </w:rPr>
          <w:t>Стандарта</w:t>
        </w:r>
      </w:hyperlink>
      <w:r w:rsidRPr="00B92400">
        <w:rPr>
          <w:sz w:val="28"/>
          <w:szCs w:val="28"/>
        </w:rPr>
        <w:t xml:space="preserve"> развития конкуренции в субъектах Российской Федерации Министерством экономики, торговли и предпринимательства как уполномоченным органом по развитию конкуренции в Республики Мордовия (далее - Уполномоченный орган) разработана Программа обучения по курсу "Содействие развитию конкуренции в Республике Мордовия" в 2022 г. (далее - Программа).</w:t>
      </w:r>
    </w:p>
    <w:p w:rsidR="002655ED" w:rsidRPr="00B92400" w:rsidRDefault="002655ED" w:rsidP="0061440F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Проведение обучающих тренингов для специалистов органов местного самоуправления, органов исполнительной власти и иных организаций является одним из мероприятий, направленных на повышение эффективности деятельности по содействию развитию конкуренции.</w:t>
      </w:r>
    </w:p>
    <w:p w:rsidR="002655ED" w:rsidRPr="00B92400" w:rsidRDefault="002655ED" w:rsidP="0061440F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местах, в каждом муниципалитете, а для этого необходимы квалифицированные специалисты.</w:t>
      </w:r>
    </w:p>
    <w:p w:rsidR="002655ED" w:rsidRPr="00B92400" w:rsidRDefault="002655ED" w:rsidP="0061440F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В соответствии с рекомендациями, принятыми на федеральном уровне, и по итогам деятельности по развитию конкуренции в республике в 2021 году определены направления, по которым необходимо получить дополнительные знания, направленные на создание условий для развития конкуренции в муниципальном образовании (городском округе).</w:t>
      </w:r>
    </w:p>
    <w:p w:rsidR="002655ED" w:rsidRPr="00B92400" w:rsidRDefault="002655ED" w:rsidP="0061440F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Обучающий курс не претендует на всеобщий охват рассматриваемых проблем, в нем представлены как апробированные и общепризнанные знания и положения, так и спорные вопросы, демонстрирующие разные точки зрения. В целях совершенствования Программы Уполномоченный орган готов принять предложения и рекомендации по ее дальнейшему улучшению.</w:t>
      </w:r>
    </w:p>
    <w:p w:rsidR="000A2AF8" w:rsidRPr="00B92400" w:rsidRDefault="000A2AF8">
      <w:pPr>
        <w:jc w:val="both"/>
        <w:sectPr w:rsidR="000A2AF8" w:rsidRPr="00B92400">
          <w:headerReference w:type="default" r:id="rId10"/>
          <w:pgSz w:w="11910" w:h="16840"/>
          <w:pgMar w:top="960" w:right="980" w:bottom="280" w:left="780" w:header="749" w:footer="0" w:gutter="0"/>
          <w:pgNumType w:start="3"/>
          <w:cols w:space="720"/>
        </w:sectPr>
      </w:pPr>
    </w:p>
    <w:p w:rsidR="000A2AF8" w:rsidRPr="00B92400" w:rsidRDefault="000A2AF8">
      <w:pPr>
        <w:pStyle w:val="a3"/>
        <w:spacing w:before="1"/>
        <w:rPr>
          <w:sz w:val="16"/>
        </w:rPr>
      </w:pPr>
    </w:p>
    <w:p w:rsidR="000A2AF8" w:rsidRPr="00B92400" w:rsidRDefault="00B92349" w:rsidP="00B92400">
      <w:pPr>
        <w:pStyle w:val="Heading1"/>
        <w:spacing w:before="89"/>
        <w:ind w:left="567" w:right="801" w:firstLine="709"/>
      </w:pPr>
      <w:r w:rsidRPr="00B92400">
        <w:rPr>
          <w:color w:val="000009"/>
        </w:rPr>
        <w:t>Тема №1</w:t>
      </w:r>
    </w:p>
    <w:p w:rsidR="000A2AF8" w:rsidRPr="00B92400" w:rsidRDefault="000A2AF8" w:rsidP="00B92400">
      <w:pPr>
        <w:pStyle w:val="a3"/>
        <w:spacing w:before="10"/>
        <w:ind w:left="567" w:firstLine="709"/>
        <w:rPr>
          <w:b/>
          <w:sz w:val="27"/>
        </w:rPr>
      </w:pPr>
    </w:p>
    <w:p w:rsidR="000A2AF8" w:rsidRPr="00B92400" w:rsidRDefault="00B92349" w:rsidP="00B92400">
      <w:pPr>
        <w:spacing w:before="1"/>
        <w:ind w:left="567" w:right="178" w:firstLine="709"/>
        <w:jc w:val="center"/>
        <w:rPr>
          <w:b/>
          <w:sz w:val="28"/>
        </w:rPr>
      </w:pPr>
      <w:r w:rsidRPr="00B92400">
        <w:rPr>
          <w:b/>
          <w:color w:val="000009"/>
          <w:spacing w:val="-1"/>
          <w:sz w:val="28"/>
        </w:rPr>
        <w:t xml:space="preserve">Оценка состояния конкурентной </w:t>
      </w:r>
      <w:r w:rsidRPr="00B92400">
        <w:rPr>
          <w:b/>
          <w:color w:val="000009"/>
          <w:sz w:val="28"/>
        </w:rPr>
        <w:t>среды в муниципальных районах</w:t>
      </w:r>
      <w:r w:rsidRPr="00B92400">
        <w:rPr>
          <w:b/>
          <w:color w:val="000009"/>
          <w:spacing w:val="-67"/>
          <w:sz w:val="28"/>
        </w:rPr>
        <w:t xml:space="preserve"> </w:t>
      </w:r>
      <w:r w:rsidRPr="00B92400">
        <w:rPr>
          <w:b/>
          <w:color w:val="000009"/>
          <w:sz w:val="28"/>
        </w:rPr>
        <w:t>Республики</w:t>
      </w:r>
      <w:r w:rsidRPr="00B92400">
        <w:rPr>
          <w:b/>
          <w:color w:val="000009"/>
          <w:spacing w:val="-2"/>
          <w:sz w:val="28"/>
        </w:rPr>
        <w:t xml:space="preserve"> </w:t>
      </w:r>
      <w:r w:rsidRPr="00B92400">
        <w:rPr>
          <w:b/>
          <w:color w:val="000009"/>
          <w:sz w:val="28"/>
        </w:rPr>
        <w:t>Мордовия</w:t>
      </w:r>
      <w:r w:rsidRPr="00B92400">
        <w:rPr>
          <w:b/>
          <w:color w:val="000009"/>
          <w:spacing w:val="67"/>
          <w:sz w:val="28"/>
        </w:rPr>
        <w:t xml:space="preserve"> </w:t>
      </w:r>
      <w:r w:rsidRPr="00B92400">
        <w:rPr>
          <w:b/>
          <w:color w:val="000009"/>
          <w:sz w:val="28"/>
        </w:rPr>
        <w:t>и</w:t>
      </w:r>
      <w:r w:rsidRPr="00B92400">
        <w:rPr>
          <w:b/>
          <w:color w:val="000009"/>
          <w:spacing w:val="-2"/>
          <w:sz w:val="28"/>
        </w:rPr>
        <w:t xml:space="preserve"> </w:t>
      </w:r>
      <w:r w:rsidRPr="00B92400">
        <w:rPr>
          <w:b/>
          <w:color w:val="000009"/>
          <w:sz w:val="28"/>
        </w:rPr>
        <w:t>городском округе</w:t>
      </w:r>
      <w:r w:rsidRPr="00B92400">
        <w:rPr>
          <w:b/>
          <w:color w:val="000009"/>
          <w:spacing w:val="-1"/>
          <w:sz w:val="28"/>
        </w:rPr>
        <w:t xml:space="preserve"> </w:t>
      </w:r>
      <w:r w:rsidRPr="00B92400">
        <w:rPr>
          <w:b/>
          <w:color w:val="000009"/>
          <w:sz w:val="28"/>
        </w:rPr>
        <w:t>Саранск</w:t>
      </w:r>
    </w:p>
    <w:p w:rsidR="000A2AF8" w:rsidRDefault="00B92349" w:rsidP="00B92400">
      <w:pPr>
        <w:pStyle w:val="Heading1"/>
        <w:spacing w:line="321" w:lineRule="exact"/>
        <w:ind w:left="567" w:right="801" w:firstLine="709"/>
        <w:rPr>
          <w:color w:val="000009"/>
        </w:rPr>
      </w:pPr>
      <w:r w:rsidRPr="00B92400">
        <w:rPr>
          <w:color w:val="000009"/>
        </w:rPr>
        <w:t>по</w:t>
      </w:r>
      <w:r w:rsidRPr="00B92400">
        <w:rPr>
          <w:color w:val="000009"/>
          <w:spacing w:val="-1"/>
        </w:rPr>
        <w:t xml:space="preserve"> </w:t>
      </w:r>
      <w:r w:rsidRPr="00B92400">
        <w:rPr>
          <w:color w:val="000009"/>
        </w:rPr>
        <w:t>итогам</w:t>
      </w:r>
      <w:r w:rsidRPr="00B92400">
        <w:rPr>
          <w:color w:val="000009"/>
          <w:spacing w:val="-2"/>
        </w:rPr>
        <w:t xml:space="preserve"> </w:t>
      </w:r>
      <w:r w:rsidRPr="00B92400">
        <w:rPr>
          <w:color w:val="000009"/>
        </w:rPr>
        <w:t>202</w:t>
      </w:r>
      <w:r w:rsidR="0061440F" w:rsidRPr="00B92400">
        <w:rPr>
          <w:color w:val="000009"/>
        </w:rPr>
        <w:t>1</w:t>
      </w:r>
      <w:r w:rsidRPr="00B92400">
        <w:rPr>
          <w:color w:val="000009"/>
          <w:spacing w:val="-2"/>
        </w:rPr>
        <w:t xml:space="preserve"> </w:t>
      </w:r>
      <w:r w:rsidRPr="00B92400">
        <w:rPr>
          <w:color w:val="000009"/>
        </w:rPr>
        <w:t>года</w:t>
      </w:r>
    </w:p>
    <w:p w:rsidR="00B819A4" w:rsidRPr="00B92400" w:rsidRDefault="00B819A4" w:rsidP="00B92400">
      <w:pPr>
        <w:pStyle w:val="Heading1"/>
        <w:spacing w:line="321" w:lineRule="exact"/>
        <w:ind w:left="567" w:right="801" w:firstLine="709"/>
      </w:pP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Ежегодно Минэкономики Республики Мордовия как уполномоченный орган по содействию развитию конкуренции в Республике Мордовия совместно с ГКУ РМ "НЦСЭМ" проводит мониторинг конкурентной среды. Целью мониторинга является оценка состояния и развития конкурентной среды на рынках товаров и услуг Республики Мордовия.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Оценка развития конкуренции предполагает формирование формализованного информационно-методического обеспечения, которое может быть использовано на различных уровнях государственной власти и местного самоуправления для оценки результативности развития конкуренции, потенциала и специфики каждого из товарных рынков.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 xml:space="preserve">Оценка состояния конкурентной среды на товарных рынках осуществляется на основе полученной информации от потребителей, предпринимателей, а также общественных, научных, коммерческих и некоммерческих организаций, экспертов. Для анализа информации использовались критерии: </w:t>
      </w:r>
      <w:r w:rsidRPr="00B92400">
        <w:rPr>
          <w:b/>
          <w:sz w:val="28"/>
          <w:szCs w:val="28"/>
        </w:rPr>
        <w:t>удовлетворенность потребителей, предпринимателей, экспертов уровнем цен на товары и услуги, уровнем качества товаров и услуг, ассортиментом товаров и услуг.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Мнения респондентов получены по 28 рынкам товаров и услуг: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1. продукты питания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2. молочная продукция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3. природные строительные материалы (камень, песок, глина)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4. нефтепродукты (бензин, дизельное топливо)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5. сжиженный газ в баллонах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6. лекарственные препараты и медицинские изделия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7. изделия из дерева (пиломатериалы, фанера, шпон и т.д.)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8. кирпич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9. бетон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10. услуги дошкольного образования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11. услуги среднего профессионального образования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12. услуги дополнительного образования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13. услуги детского отдыха и оздоровления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14. услуги социального обслуживания населения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15. медицинские услуги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16. ритуальные услуги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17. услуги связи, доступ к сети Интернет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18. услуги по содержанию и текущему ремонту имущества в МКД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19. услуги по благоустройству городской среды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20. услуги по сбыту электроэнергии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21. услуги по снабжению тепловой энергией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22. услуги по вывозу мусора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23. услуги по жилищному строительству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24. услуги наружной рекламы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25. услуги по ремонту автотранспортных средств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26. услуги по перевозке пассажиров автомобильным транспортом по муниципальным маршрутам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27. услуги по перевозке пассажиров автомобильным транспортом по межмуниципальным маршрутам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28. услуги по перевозке пассажиров легковым такси.</w:t>
      </w:r>
    </w:p>
    <w:p w:rsidR="001F0A94" w:rsidRPr="00B92400" w:rsidRDefault="001F0A94" w:rsidP="001F0A94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Лидерами по значению удовлетворенности населения выступают Ичалковский, Ромодановский, Темниковский районы, аутсайдерами - Теньгушевский и Кадошкинский районы (см. таблицу).</w:t>
      </w:r>
    </w:p>
    <w:p w:rsidR="001F0A94" w:rsidRPr="00B92400" w:rsidRDefault="001F0A94" w:rsidP="001F0A94">
      <w:pPr>
        <w:ind w:left="567" w:firstLine="709"/>
        <w:rPr>
          <w:sz w:val="28"/>
          <w:szCs w:val="28"/>
        </w:rPr>
      </w:pPr>
    </w:p>
    <w:p w:rsidR="001F0A94" w:rsidRPr="00B92400" w:rsidRDefault="001F0A94" w:rsidP="007F729C">
      <w:pPr>
        <w:pStyle w:val="1"/>
        <w:ind w:left="567" w:firstLine="709"/>
        <w:rPr>
          <w:color w:val="auto"/>
        </w:rPr>
      </w:pPr>
      <w:bookmarkStart w:id="0" w:name="sub_10"/>
      <w:r w:rsidRPr="00B92400">
        <w:rPr>
          <w:color w:val="auto"/>
        </w:rPr>
        <w:t>Расчет среднего значения комплексной оценки</w:t>
      </w:r>
    </w:p>
    <w:bookmarkEnd w:id="0"/>
    <w:p w:rsidR="001F0A94" w:rsidRPr="00B92400" w:rsidRDefault="001F0A94" w:rsidP="001F0A94"/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8"/>
        <w:gridCol w:w="4536"/>
        <w:gridCol w:w="4518"/>
      </w:tblGrid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N 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Наименование района (городского округа)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Среднее значение удовлетворенности населения возможностью выбора, уровнем цен и качеством товаров, работ и услуг на товарных рынках Республики Мордовия в 2021 году, %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Ичалковский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48,3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Ромодановский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41,8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Темниковский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36,6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Большеберезниковский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36,2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Дубенский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35,8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Атюрьевский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33,7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Кочкуровский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32,8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Ковылкинский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32,5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Торбеевский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31,0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Старошайговский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27,0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Зубово-Полянский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26,2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Рузаевский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25,2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Ардатовский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25,1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Лямбирский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25,1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г.о. Саранск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20,8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Краснослободский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19,4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Атяшевский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17,3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Чамзинский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15,2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Инсарский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14,2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Ельниковский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12,1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Большеигнатовский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11,8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Теньгушевский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4,2</w:t>
            </w:r>
          </w:p>
        </w:tc>
      </w:tr>
      <w:tr w:rsidR="001F0A94" w:rsidRPr="00B92400" w:rsidTr="007F729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23.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Кадошкинский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A94" w:rsidRPr="00B92400" w:rsidRDefault="001F0A94" w:rsidP="009D11AC">
            <w:pPr>
              <w:pStyle w:val="a6"/>
              <w:jc w:val="center"/>
            </w:pPr>
            <w:r w:rsidRPr="00B92400">
              <w:t>3,7</w:t>
            </w:r>
          </w:p>
        </w:tc>
      </w:tr>
    </w:tbl>
    <w:p w:rsidR="001F0A94" w:rsidRPr="00B92400" w:rsidRDefault="001F0A94" w:rsidP="001F0A94"/>
    <w:p w:rsidR="001F0A94" w:rsidRPr="00B92400" w:rsidRDefault="001F0A94" w:rsidP="007A499C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11"/>
      <w:r w:rsidRPr="00B92400">
        <w:rPr>
          <w:rFonts w:ascii="Times New Roman" w:hAnsi="Times New Roman" w:cs="Times New Roman"/>
          <w:color w:val="auto"/>
          <w:sz w:val="28"/>
          <w:szCs w:val="28"/>
        </w:rPr>
        <w:t>Наличие (отсутствие) административных барьеров</w:t>
      </w:r>
    </w:p>
    <w:bookmarkEnd w:id="1"/>
    <w:p w:rsidR="001F0A94" w:rsidRPr="00B92400" w:rsidRDefault="001F0A94" w:rsidP="007A499C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7A499C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В результате проведенного исследования, среди наиболее существенных препятствий предприниматели выделили высокий уровень налогов (44%), нестабильность российского законодательства, регулирующего предпринимательскую деятельность (35%), сложность процедуры получения свидетельств, лицензий, заключений (20%), частые и необоснованные проверки (17%), коррупцию (включая взятки, дискриминацию и предоставление преференций отдельным участникам на заведомо неравных условиях) (14%). При этом 27% опрошенных считают, что какие-либо ограничения в их деятельности отсутствуют.</w:t>
      </w:r>
    </w:p>
    <w:p w:rsidR="001F0A94" w:rsidRPr="00B92400" w:rsidRDefault="001F0A94" w:rsidP="007A499C">
      <w:pPr>
        <w:ind w:left="567" w:firstLine="709"/>
      </w:pPr>
    </w:p>
    <w:p w:rsidR="001F0A94" w:rsidRPr="00B92400" w:rsidRDefault="001F0A94" w:rsidP="007A499C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B92400">
        <w:rPr>
          <w:rFonts w:ascii="Times New Roman" w:hAnsi="Times New Roman" w:cs="Times New Roman"/>
          <w:color w:val="auto"/>
          <w:sz w:val="28"/>
          <w:szCs w:val="28"/>
        </w:rPr>
        <w:t>Области присутствия административных барьеров, %</w:t>
      </w:r>
    </w:p>
    <w:p w:rsidR="001F0A94" w:rsidRPr="00B92400" w:rsidRDefault="001F0A94" w:rsidP="007A499C">
      <w:pPr>
        <w:ind w:left="567" w:firstLine="709"/>
      </w:pPr>
    </w:p>
    <w:p w:rsidR="001F0A94" w:rsidRPr="00B92400" w:rsidRDefault="001F0A94" w:rsidP="00B92400">
      <w:pPr>
        <w:ind w:left="567" w:firstLine="709"/>
        <w:jc w:val="center"/>
      </w:pPr>
      <w:r w:rsidRPr="00B92400">
        <w:rPr>
          <w:noProof/>
          <w:lang w:eastAsia="ru-RU"/>
        </w:rPr>
        <w:drawing>
          <wp:inline distT="0" distB="0" distL="0" distR="0">
            <wp:extent cx="5144770" cy="43649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436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7A499C">
      <w:pPr>
        <w:ind w:left="567" w:firstLine="709"/>
      </w:pPr>
    </w:p>
    <w:p w:rsidR="001F0A94" w:rsidRPr="00B92400" w:rsidRDefault="001F0A94" w:rsidP="007A499C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2"/>
      <w:r w:rsidRPr="00B92400">
        <w:rPr>
          <w:rFonts w:ascii="Times New Roman" w:hAnsi="Times New Roman" w:cs="Times New Roman"/>
          <w:color w:val="auto"/>
          <w:sz w:val="28"/>
          <w:szCs w:val="28"/>
        </w:rPr>
        <w:t>Взаимодействие с институтами развития и размещение официальной информации</w:t>
      </w:r>
    </w:p>
    <w:bookmarkEnd w:id="2"/>
    <w:p w:rsidR="001F0A94" w:rsidRPr="00B92400" w:rsidRDefault="001F0A94" w:rsidP="007A499C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7A499C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Эффективность работы существующих институтов взаимодействия власти и бизнеса предприниматели оценили в среднем от 5,1 до 6,7 балла из 10 возможных. Самые высокие оценки получила работа советов предпринимателей в муниципальных образованиях, низкие - деятельность общероссийских общественных организаций "Опора России" и "Деловая Россия".</w:t>
      </w:r>
    </w:p>
    <w:p w:rsidR="001F0A94" w:rsidRPr="00B92400" w:rsidRDefault="001F0A94" w:rsidP="007A499C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7A499C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B92400">
        <w:rPr>
          <w:rFonts w:ascii="Times New Roman" w:hAnsi="Times New Roman" w:cs="Times New Roman"/>
          <w:color w:val="auto"/>
          <w:sz w:val="28"/>
          <w:szCs w:val="28"/>
        </w:rPr>
        <w:t>Оценка эффективности работы существующих институтов взаимодействия власти и бизнеса, балл</w:t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center"/>
      </w:pPr>
      <w:r w:rsidRPr="00B92400">
        <w:rPr>
          <w:noProof/>
          <w:lang w:eastAsia="ru-RU"/>
        </w:rPr>
        <w:drawing>
          <wp:inline distT="0" distB="0" distL="0" distR="0">
            <wp:extent cx="5375275" cy="31883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Понятность изложения официальной информации о состоянии конкурентной среды на рынках товаров и услуг Республики Мордовия, размещаемой в открытом доступе, оценивается в большинстве случаев положительно. Так, доля респондентов, полностью или частично удовлетворенных понятностью изложения информации, размещаемой Министерством экономики, торговли и предпринимательства Республики Мордовия составляет 75,0%, а администрациями муниципальных районов (города) - 80%.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92400">
        <w:rPr>
          <w:rFonts w:ascii="Times New Roman" w:hAnsi="Times New Roman" w:cs="Times New Roman"/>
          <w:color w:val="auto"/>
          <w:sz w:val="28"/>
          <w:szCs w:val="28"/>
        </w:rPr>
        <w:t>Удовлетворенность респондентов понятностью изложения официальной информации о состоянии конкурентной среды на рынках товаров и услуг, размещаемой в открытом доступе, %</w:t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center"/>
      </w:pPr>
      <w:r w:rsidRPr="00B92400">
        <w:rPr>
          <w:noProof/>
          <w:lang w:eastAsia="ru-RU"/>
        </w:rPr>
        <w:drawing>
          <wp:inline distT="0" distB="0" distL="0" distR="0">
            <wp:extent cx="5168265" cy="9937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Полнота изложения официальной информации о состоянии конкурентной среды на рынках товаров и услуг Республики Мордовия, размещаемой в открытом доступе, оценивается положительно. Доля респондентов, удовлетворенных полнотой изложения информации, размещаемой Министерством экономики, торговли и предпринимательства Республики Мордовия составляет 68%, администрациями муниципальных районов (города) - 73%.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92400">
        <w:rPr>
          <w:rFonts w:ascii="Times New Roman" w:hAnsi="Times New Roman" w:cs="Times New Roman"/>
          <w:color w:val="auto"/>
          <w:sz w:val="28"/>
          <w:szCs w:val="28"/>
        </w:rPr>
        <w:t>Удовлетворенность населения полнотой официальной информации о состоянии конкурентной среды на рынках товаров и услуг, размещаемой в открытом доступе, %</w:t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both"/>
      </w:pPr>
      <w:r w:rsidRPr="00B92400">
        <w:rPr>
          <w:noProof/>
          <w:lang w:eastAsia="ru-RU"/>
        </w:rPr>
        <w:drawing>
          <wp:inline distT="0" distB="0" distL="0" distR="0">
            <wp:extent cx="5876290" cy="493776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49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1F0A94"/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Доступность информации о состоянии конкурентной среды на рынках товаров и услуг, размещаемой в открытом доступе, респонденты также оценивают положительно. Удовлетворенность показателем относительно данных Министерства экономики, торговли и предпринимательства Республики Мордовия составляет 75%, администраций муниципальных районов (города) - 78%.</w:t>
      </w:r>
    </w:p>
    <w:p w:rsidR="001F0A94" w:rsidRPr="00B92400" w:rsidRDefault="001F0A94" w:rsidP="001F0A94"/>
    <w:p w:rsidR="001F0A94" w:rsidRPr="00B92400" w:rsidRDefault="001F0A94" w:rsidP="00B92400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92400">
        <w:rPr>
          <w:rFonts w:ascii="Times New Roman" w:hAnsi="Times New Roman" w:cs="Times New Roman"/>
          <w:color w:val="auto"/>
          <w:sz w:val="28"/>
          <w:szCs w:val="28"/>
        </w:rPr>
        <w:t>Удовлетворенность населения доступностью официальной информации о состоянии конкурентной среды на рынках товаров и услуг, размещаемой в открытом доступе, %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noProof/>
          <w:sz w:val="28"/>
          <w:szCs w:val="28"/>
          <w:lang w:eastAsia="ru-RU"/>
        </w:rPr>
        <w:drawing>
          <wp:inline distT="0" distB="0" distL="0" distR="0">
            <wp:extent cx="5160645" cy="1049655"/>
            <wp:effectExtent l="1905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4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Таким образом, можно констатировать, что в целом простота, доступность, понятность и удобство получения официальной информации о состоянии конкурентной среды на рынках товаров и услуг, размещаемой в открытом доступе, высоко оценивается населением Республики Мордовия.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3"/>
      <w:r w:rsidRPr="00B92400">
        <w:rPr>
          <w:rFonts w:ascii="Times New Roman" w:hAnsi="Times New Roman" w:cs="Times New Roman"/>
          <w:color w:val="auto"/>
          <w:sz w:val="28"/>
          <w:szCs w:val="28"/>
        </w:rPr>
        <w:t>Удовлетворенность населения деятельностью в сфере финансовых услуг, оказываемых на территории Республики Мордовия</w:t>
      </w:r>
    </w:p>
    <w:bookmarkEnd w:id="3"/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Результаты проведенного исследования свидетельствуют, что большинство жителей региона (82%) в течение последних двенадцати месяцев пользовались хотя бы одним финансовым продуктом или услугой. По сравнению с прошлогодним замером доля таких респондентов практически не изменилась (83%).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Самые активные потребители финансовых продуктов и услуг в зависимости от различных социально-демографических и статусно-профессиональных характеристик - мужчины (85%), респонденты от 25 до 64 лет (89%), люди с незаконченным высшим, высшим (в том числе двумя высшими образованиями), ученой степенью (87%) и работающие по найму (91%). Существенно ниже средних значений по выборке использование финансовых продуктов и услуг среди респондентов от 18 до 24 лет (52%) и от 65 лет и старше (66%), людей с основным (до 9 классов), средним (10 - 11 классов) образованием (57%), временно неработающих (72%), пенсионеров (71%) и студентов вузов (46%). Других значимых отличий в наполненных группах выявлено не было.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Наиболее востребованные у населения - услуги обслуживание зарплатных карт (78%) и деятельность по сопровождению денежных переводов и платежей (50%). Напротив, почти не пользовались спросом брокерские счета (4%), автокредиты (3%), инвестиционные услуги (ПИФы, ОФБУ, доверительное управление) (3%), микрозаймы (1%).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Обращает на себя внимание тот факт, что к настоящему времени субъективно респонденты отмечают снижение своего обращения к финансовым продуктам и услугам. Так, доля тех, кто продолжает пользоваться денежными переводами и платежами, сократилась на 28 пп, страхованием - на 12 пп, дебетовыми картами (за исключением зарплатной карты) - на 10 пп, банковскими вкладами - на 9 пп, кредитными картами - на 7 пп.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noProof/>
          <w:sz w:val="28"/>
          <w:szCs w:val="28"/>
          <w:lang w:eastAsia="ru-RU"/>
        </w:rPr>
        <w:drawing>
          <wp:inline distT="0" distB="0" distL="0" distR="0">
            <wp:extent cx="5494655" cy="511238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511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Рис. Наиболее востребованные среди населения финансовые продукты и услуги, %</w:t>
      </w: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</w:p>
    <w:p w:rsidR="001F0A94" w:rsidRPr="00B92400" w:rsidRDefault="001F0A94" w:rsidP="00B92400">
      <w:pPr>
        <w:ind w:left="567" w:firstLine="709"/>
        <w:jc w:val="both"/>
        <w:rPr>
          <w:sz w:val="28"/>
          <w:szCs w:val="28"/>
        </w:rPr>
      </w:pPr>
      <w:r w:rsidRPr="00B92400">
        <w:rPr>
          <w:sz w:val="28"/>
          <w:szCs w:val="28"/>
        </w:rPr>
        <w:t>Большая часть жителей региона предпочитает контактные способы получения финансовых продуктов и услуг. В первую очередь это банкоматы, терминалы (77%) и личное посещение организации (63%). Но по сравнению с прошлым годом люди стали несколько реже к ним обращаться (снижение на 5 и 4 пп соответственно). Несмотря на усиливающуюся цифровизацию финансовой отрасли, значительную часть предложений финансовых организаций нельзя получить в удаленном режиме.</w:t>
      </w:r>
    </w:p>
    <w:p w:rsidR="000A2AF8" w:rsidRDefault="000A2AF8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Default="00B819A4" w:rsidP="00B92400">
      <w:pPr>
        <w:pStyle w:val="a3"/>
        <w:spacing w:before="8"/>
        <w:ind w:left="567" w:firstLine="709"/>
        <w:jc w:val="both"/>
        <w:rPr>
          <w:b/>
        </w:rPr>
      </w:pPr>
    </w:p>
    <w:p w:rsidR="00B819A4" w:rsidRPr="00B819A4" w:rsidRDefault="00B819A4" w:rsidP="00B819A4">
      <w:pPr>
        <w:pStyle w:val="Heading1"/>
        <w:spacing w:before="89"/>
        <w:ind w:left="567" w:right="801" w:firstLine="709"/>
      </w:pPr>
      <w:r w:rsidRPr="00B819A4">
        <w:t>Тема №2</w:t>
      </w:r>
    </w:p>
    <w:p w:rsidR="00B819A4" w:rsidRPr="00B819A4" w:rsidRDefault="00B819A4" w:rsidP="00B819A4">
      <w:pPr>
        <w:pStyle w:val="a3"/>
        <w:spacing w:before="10"/>
        <w:ind w:left="567" w:firstLine="709"/>
        <w:jc w:val="center"/>
        <w:rPr>
          <w:b/>
        </w:rPr>
      </w:pPr>
    </w:p>
    <w:p w:rsidR="00B819A4" w:rsidRPr="00B819A4" w:rsidRDefault="00B819A4" w:rsidP="00B819A4">
      <w:pPr>
        <w:spacing w:before="1"/>
        <w:ind w:left="567" w:right="178" w:firstLine="709"/>
        <w:jc w:val="center"/>
        <w:rPr>
          <w:b/>
          <w:spacing w:val="-1"/>
          <w:sz w:val="28"/>
          <w:szCs w:val="28"/>
        </w:rPr>
      </w:pPr>
      <w:r w:rsidRPr="00B819A4">
        <w:rPr>
          <w:b/>
          <w:spacing w:val="-1"/>
          <w:sz w:val="28"/>
          <w:szCs w:val="28"/>
        </w:rPr>
        <w:t>Синхронизация региональной и муниципальных «дорожных карт» как фактор результативности развития конкуренции в регионе</w:t>
      </w:r>
    </w:p>
    <w:p w:rsidR="00B819A4" w:rsidRPr="00B819A4" w:rsidRDefault="00B819A4" w:rsidP="00B819A4">
      <w:pPr>
        <w:spacing w:before="1"/>
        <w:ind w:left="567" w:right="178" w:firstLine="709"/>
        <w:jc w:val="both"/>
        <w:rPr>
          <w:b/>
          <w:spacing w:val="-1"/>
          <w:sz w:val="28"/>
          <w:szCs w:val="28"/>
        </w:rPr>
      </w:pPr>
    </w:p>
    <w:p w:rsidR="00B819A4" w:rsidRPr="00B819A4" w:rsidRDefault="00BE0013" w:rsidP="00B819A4">
      <w:pPr>
        <w:ind w:left="567" w:firstLine="709"/>
        <w:jc w:val="both"/>
        <w:rPr>
          <w:sz w:val="28"/>
          <w:szCs w:val="28"/>
        </w:rPr>
      </w:pPr>
      <w:hyperlink r:id="rId17" w:history="1">
        <w:r w:rsidR="00B819A4" w:rsidRPr="00B819A4">
          <w:rPr>
            <w:rStyle w:val="a5"/>
            <w:color w:val="auto"/>
            <w:sz w:val="28"/>
            <w:szCs w:val="28"/>
          </w:rPr>
          <w:t>Подпунктом "а" пункта 2</w:t>
        </w:r>
      </w:hyperlink>
      <w:r w:rsidR="00B819A4" w:rsidRPr="00B819A4">
        <w:rPr>
          <w:sz w:val="28"/>
          <w:szCs w:val="28"/>
        </w:rPr>
        <w:t xml:space="preserve"> Стандарта определены цели Стандарта, одной из которых является установление системного и единообразного подхода к осуществлению деятельности органов исполнительной власти субъектов РФ,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В соответствии с </w:t>
      </w:r>
      <w:hyperlink r:id="rId18" w:history="1">
        <w:r w:rsidRPr="00B819A4">
          <w:rPr>
            <w:rStyle w:val="a5"/>
            <w:color w:val="auto"/>
            <w:sz w:val="28"/>
            <w:szCs w:val="28"/>
          </w:rPr>
          <w:t>подпунктом "а" пункта 3</w:t>
        </w:r>
      </w:hyperlink>
      <w:r w:rsidRPr="00B819A4">
        <w:rPr>
          <w:sz w:val="28"/>
          <w:szCs w:val="28"/>
        </w:rPr>
        <w:t xml:space="preserve"> Стандарта, одним из основных принципов является ориентация на потребителя. Высшее должностное лицо субъекта Российской Федерации и органы исполнительной власти субъекта Российской Федерации во взаимодействии с руководством муниципальных образований и сотрудниками органов местного самоуправления осуществляют мероприятия по содействию развитию конкуренции исходя из текущих и предполагаемых потребностей потребителей товаров, работ и услуг, участников экономических отношений и общества в целом.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В целях содействия развитию конкуренции в Республике Мордовия Координационным советом в 2015 году был принят Меморандум о внедрении </w:t>
      </w:r>
      <w:hyperlink r:id="rId19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развития конкуренции и развитии конкурентной среды в условиях действия Стандарта в Республике Мордовия. Принципами Меморандума являются: системный подход, заинтересованность сторон, прозрачность деятельности, ответственность при организации работы по развитию конкуренции. Фактом присоединения к Меморандуму заинтересованных сторон является заключение соответствующего соглашения, оформляемое подписными листами, в которых участники соглашений обязуются выполнять все положения Меморандума. В рамках соглашения органы местного самоуправления оказывают содействие органам исполнительной власти субъекта Российской Федерации при реализации ими стандарта. Соглашения не имеют срока действия и автоматически продлеваются на следующий год со дня принятия.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По состоянию на начало текущего года имеется 300 действующих соглашений о присоединении к Меморандуму. Во-первых, соглашения заключены всеми исполнительными органами государственной власти Республики Мордовия. В Республике Мордовия 22 муниципальных района и один городской округ Саранск, в состав которых входят 249 поселений. Соглашения о реализации </w:t>
      </w:r>
      <w:hyperlink r:id="rId20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подписаны всеми поселениями, всеми муниципальными районами и городским округом Саранск (всего 272 органа местного самоуправления).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Кроме того, соглашения заключены с: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Управлением ФАС по Республике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Торгово-промышленной палатой Республики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Союзом промышленников и предпринимателей Республики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региональным отделением "Объединение потребителей России" в Республике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Отделением - НБ Республика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региональным отделением "ОПОРА РОССИИ";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ООО "Деловой союз";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Некоммерческим партнерством автотранспортных компаний Республики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региональным отделением "Деловая Россия";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Республиканской ассоциацией владельцев транспортных средств "Факел";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Ассоциацией производителей светотехнических изделий "Российский Свет";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Ассоциацией крестьянских (фермерских) хозяйств Республики Мордовия "Нива";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Соглашениями предусмотрена организация взаимодействия Сторон по осуществлению мероприятий, направленных на активное содействие развитию конкуренции в Республике Мордовия. Так, представители органов местного самоуправления могут не только участвовать в рабочих органах по реализации </w:t>
      </w:r>
      <w:hyperlink r:id="rId21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>, но и развивать конкуренцию в муниципальных образованиях посредством разработки и внедрения типовой муниципальной "дорожной карты". Практическое использование "дорожной карты" способно принести значимый положительный бюджетный эффект за счет повышения конкурентоспособности местного бизнеса и инвестиционной привлекательности муниципального образования. Положительный эффект принесут также учет местных особенностей и вовлечение в оборот дополнительных локальных преимуществ муниципальных образований Республики Мордовия.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Уполномоченный орган исполнительной власти в Республике Мордовия в рамках реализации мероприятий по содействию развитию конкуренции, в том числе включенных в "дорожные карты", обеспечивает единство целей и направлений деятельности органов исполнительной власти субъекта РФ и органов местного самоуправления.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При этом возникают вопросы: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действия органов власти субъекта РФ и органов местного самоуправления при реализации </w:t>
      </w:r>
      <w:hyperlink r:id="rId22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и "дорожных карт" должны быть синхронными?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каким образом достичь синхронности действий органов власти регионального и муниципального уровней?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Что же представляет собой синхронизация? Синхронность действий - скоординированная, единообразная и согласованная деятельность органов исполнительной власти субъекта РФ и органов местного самоуправления при реализации мероприятий, включенных в "дорожные карты" по содействию развитию конкуренции, в целях достижения максимальных результатов для участников экономических отношений и общества в целом.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Для реализации указанной деятельности необходимы: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определение перечня товарных рынков для содействия развитию конкуренции;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формирование списка ответственных лиц в ОМС субъекта и их контакты;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подготовка обоснований включения мероприятий из региональной "дорожной карты" в муниципальную;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подготовка предложений по включению мероприятий в муниципальные "дорожные карты";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разработка алгоритма расчета ключевых показателей (KPI) и определение плановых значений KPI развития конкуренции в муниципальных образованиях;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внесение изменений в муниципальные "дорожные карты" с учетом рекомендаций и предложений;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привлечение муниципальных образований к совместному выполнению мероприятий и достижению KPI, установленных в региональной "дорожной карте".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Целями синхронизации являются: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единство направлений деятельности региональных и муниципальных органов власти;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максимальная согласованность целевых показателей, основных мероприятий и сроков исполнения региональной и муниципальных "дорожных карт";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межведомственное взаимодействие при реализации мероприятий, обеспечивающих достижение ключевых показателей развития конкуренции в Республике Мордовия.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Среди основных этапов синхронизации региональной и муниципальных "дорожных карт" можно выделить следующие: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1 этап</w:t>
      </w:r>
      <w:r w:rsidRPr="00B819A4">
        <w:rPr>
          <w:sz w:val="28"/>
          <w:szCs w:val="28"/>
        </w:rPr>
        <w:t xml:space="preserve"> Разработка детальных рекомендаций для каждого органа местного самоуправления Республики Мордовия по актуализации муниципальных перечней товарных рынков и "дорожных карт".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2 этап</w:t>
      </w:r>
      <w:r w:rsidRPr="00B819A4">
        <w:rPr>
          <w:sz w:val="28"/>
          <w:szCs w:val="28"/>
        </w:rPr>
        <w:t xml:space="preserve"> Актуализация муниципальных перечней товарных рынков и "дорожных карт" с учетом полученных рекомендаций.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3 этап</w:t>
      </w:r>
      <w:r w:rsidRPr="00B819A4">
        <w:rPr>
          <w:sz w:val="28"/>
          <w:szCs w:val="28"/>
        </w:rPr>
        <w:t xml:space="preserve"> Анализ актуализированных муниципальных перечней товарных рынков и "дорожных карт" в части учета рекомендаций.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4 этап</w:t>
      </w:r>
      <w:r w:rsidRPr="00B819A4">
        <w:rPr>
          <w:sz w:val="28"/>
          <w:szCs w:val="28"/>
        </w:rPr>
        <w:t xml:space="preserve"> Оценка достаточности запланированных мер, расчет актуальных рекомендуемых значений ключевых показателей для муниципальных образований на плановый период.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5 этап</w:t>
      </w:r>
      <w:r w:rsidRPr="00B819A4">
        <w:rPr>
          <w:sz w:val="28"/>
          <w:szCs w:val="28"/>
        </w:rPr>
        <w:t xml:space="preserve"> Актуализация органами местного самоуправления муниципальных перечней товарных рынков и "дорожных карт" с учетом полученных рекомендаций (завершение синхронизации).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Муниципальные образования наделены полномочиями по созданию условий развития конкуренции на определенных товарных рынках. В соответствии с </w:t>
      </w:r>
      <w:hyperlink r:id="rId23" w:history="1">
        <w:r w:rsidRPr="00B819A4">
          <w:rPr>
            <w:rStyle w:val="a5"/>
            <w:color w:val="auto"/>
            <w:sz w:val="28"/>
            <w:szCs w:val="28"/>
          </w:rPr>
          <w:t>пп. 25 п. 1 ст. 15</w:t>
        </w:r>
      </w:hyperlink>
      <w:r w:rsidRPr="00B819A4">
        <w:rPr>
          <w:sz w:val="28"/>
          <w:szCs w:val="28"/>
        </w:rPr>
        <w:t xml:space="preserve"> и </w:t>
      </w:r>
      <w:hyperlink r:id="rId24" w:history="1">
        <w:r w:rsidRPr="00B819A4">
          <w:rPr>
            <w:rStyle w:val="a5"/>
            <w:color w:val="auto"/>
            <w:sz w:val="28"/>
            <w:szCs w:val="28"/>
          </w:rPr>
          <w:t>пп. 33 п. 1 ст. 16</w:t>
        </w:r>
      </w:hyperlink>
      <w:r w:rsidRPr="00B819A4">
        <w:rPr>
          <w:sz w:val="28"/>
          <w:szCs w:val="28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 все муниципальные образования наделены полномочием по содействию развитию малого и среднего предпринимательства, оказанию поддержки социально ориентированным некоммерческим организациям, что создает основу для развития конкурентной среды во всех сферах деятельности.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Муниципальные перечни товарных рынков формируются с учетом: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включения в муниципальный перечень всех товарных рынков, рекомендованных профильными исполнительными органами государственной власти Республики Мордовия для каждого муниципального образования;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самостоятельного включения в муниципальный перечень дополнительных товарных рынков с учетом региональной специфики.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Предпосылками для включения уполномоченным органом соответствующего товарного рынка в перечень товарных рынков для содействия развитию конкуренции в субъекте РФ являются факторы (индикаторы), свидетельствующие об ограничении конкуренции: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доля организаций частной формы собственности на соответствующем товарном рынке является незначительной или меньше минимальных значений, установленных </w:t>
      </w:r>
      <w:hyperlink r:id="rId25" w:history="1">
        <w:r w:rsidRPr="00B819A4">
          <w:rPr>
            <w:rStyle w:val="a5"/>
            <w:color w:val="auto"/>
            <w:sz w:val="28"/>
            <w:szCs w:val="28"/>
          </w:rPr>
          <w:t>приложением</w:t>
        </w:r>
      </w:hyperlink>
      <w:r w:rsidRPr="00B819A4">
        <w:rPr>
          <w:sz w:val="28"/>
          <w:szCs w:val="28"/>
        </w:rPr>
        <w:t xml:space="preserve"> к Стандарту;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наличие значительного количества выявленных антимонопольным органом признаков нарушения </w:t>
      </w:r>
      <w:hyperlink r:id="rId26" w:history="1">
        <w:r w:rsidRPr="00B819A4">
          <w:rPr>
            <w:rStyle w:val="a5"/>
            <w:color w:val="auto"/>
            <w:sz w:val="28"/>
            <w:szCs w:val="28"/>
          </w:rPr>
          <w:t>антимонопольного законодательства</w:t>
        </w:r>
      </w:hyperlink>
      <w:r w:rsidRPr="00B819A4">
        <w:rPr>
          <w:sz w:val="28"/>
          <w:szCs w:val="28"/>
        </w:rPr>
        <w:t xml:space="preserve"> РФ на соответствующем товарном рынке;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выводы, содержащиеся в докладе об антимонопольном комплаенсе, о высоких рисках недопущения, ограничения, нарушения конкуренции со стороны исполнительных органов государственной власти субъекта РФ, которые могут оказывать влияние на тот или иной товарный рынок;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мнение территориального органа Федеральной антимонопольной службы о целесообразности включения соответствующего товарного рынка в перечень товарных рынков для содействия развитию конкуренции в субъекте Российской Федерации, основанное на имеющихся в распоряжении территориального органа ФАС сведениях, в том числе данных анализа состояния конкуренции на товарном рынке.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 всем товарным рынкам, включенным в муниципальные перечни товарных рынков, устанавливаются ключевые показатели. Ключевые показатели (наименование, алгоритм расчета, плановые значения) приводятся в соответствие с рекомендованными исполнительными органами государственной власти Республики Мордовия в целях обеспечения возможности их синхронизации с соответствующими региональными показателями. Цель ключевых показателей - максимально снизить долю государственного участия и создать условия для привлечения малого и среднего бизнеса.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Следует помнить, что проводимая регионом работа по ключевым показателям, как и реализация </w:t>
      </w:r>
      <w:hyperlink r:id="rId27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развития конкуренции, учитывается при оценке эффективности деятельности руководителей субъектов РФ в части включения показателей по конкуренции в общую оценку.</w:t>
      </w:r>
    </w:p>
    <w:p w:rsidR="00B819A4" w:rsidRPr="00B819A4" w:rsidRDefault="00BE0013" w:rsidP="00B819A4">
      <w:pPr>
        <w:ind w:left="567" w:firstLine="709"/>
        <w:jc w:val="both"/>
        <w:rPr>
          <w:sz w:val="28"/>
          <w:szCs w:val="28"/>
        </w:rPr>
      </w:pPr>
      <w:hyperlink r:id="rId28" w:history="1">
        <w:r w:rsidR="00B819A4" w:rsidRPr="00B819A4">
          <w:rPr>
            <w:rStyle w:val="a5"/>
            <w:color w:val="auto"/>
            <w:sz w:val="28"/>
            <w:szCs w:val="28"/>
          </w:rPr>
          <w:t>Планом</w:t>
        </w:r>
      </w:hyperlink>
      <w:r w:rsidR="00B819A4" w:rsidRPr="00B819A4">
        <w:rPr>
          <w:sz w:val="28"/>
          <w:szCs w:val="28"/>
        </w:rPr>
        <w:t xml:space="preserve"> мероприятий ("дорожной картой") по содействию развитию конкуренции в Республике Мордовия на 2022 - 2025 годы, утвержденной </w:t>
      </w:r>
      <w:hyperlink r:id="rId29" w:history="1">
        <w:r w:rsidR="00B819A4" w:rsidRPr="00B819A4">
          <w:rPr>
            <w:rStyle w:val="a5"/>
            <w:color w:val="auto"/>
            <w:sz w:val="28"/>
            <w:szCs w:val="28"/>
          </w:rPr>
          <w:t>распоряжением</w:t>
        </w:r>
      </w:hyperlink>
      <w:r w:rsidR="00B819A4" w:rsidRPr="00B819A4">
        <w:rPr>
          <w:sz w:val="28"/>
          <w:szCs w:val="28"/>
        </w:rPr>
        <w:t xml:space="preserve"> Главы Республики Мордовия от 11 октября 2019 года N 582-РГ (с изменениями от 23 декабря 2021 г. N 728-РГ) для исполнительных органов государственной власти и органов местного самоуправления Республики Мордовия на указанный период всего установлен 91 показатель, из них 47 - ключевые показатели развития конкуренции на товарных рынках Республики Мордовия, выбранных из </w:t>
      </w:r>
      <w:hyperlink r:id="rId30" w:history="1">
        <w:r w:rsidR="00B819A4" w:rsidRPr="00B819A4">
          <w:rPr>
            <w:rStyle w:val="a5"/>
            <w:color w:val="auto"/>
            <w:sz w:val="28"/>
            <w:szCs w:val="28"/>
          </w:rPr>
          <w:t>приложения</w:t>
        </w:r>
      </w:hyperlink>
      <w:r w:rsidR="00B819A4" w:rsidRPr="00B819A4">
        <w:rPr>
          <w:sz w:val="28"/>
          <w:szCs w:val="28"/>
        </w:rPr>
        <w:t xml:space="preserve"> к Стандарту и выбранным дополнительно с учетом региональной специфики, 44 - целевые показатели реализации системных мероприятий по содействию развитию конкуренции. Плановые значения ключевых показателей установлены на период с учетом необходимости обязательного достижения к 2025 году числовых значений ключевых показателей не ниже числовых значений, установленных приложением к Стандарту.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Муниципальные "дорожные карты" должны содержать следующие мероприятия: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мероприятия, сформированные в целях достижения ключевых показателей развития конкуренции (мероприятия по содействию развитию конкуренции на товарных рынках);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системные мероприятия, направленные на развитие конкуренции в Республике Мордовия (</w:t>
      </w:r>
      <w:hyperlink r:id="rId31" w:history="1">
        <w:r w:rsidRPr="00B819A4">
          <w:rPr>
            <w:rStyle w:val="a5"/>
            <w:color w:val="auto"/>
            <w:sz w:val="28"/>
            <w:szCs w:val="28"/>
          </w:rPr>
          <w:t>пункт 30</w:t>
        </w:r>
      </w:hyperlink>
      <w:r w:rsidRPr="00B819A4">
        <w:rPr>
          <w:sz w:val="28"/>
          <w:szCs w:val="28"/>
        </w:rPr>
        <w:t xml:space="preserve"> стандарта);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приложение (иные мероприятия, реализация которых оказывает влияние на состояние конкуренции (</w:t>
      </w:r>
      <w:hyperlink r:id="rId32" w:history="1">
        <w:r w:rsidRPr="00B819A4">
          <w:rPr>
            <w:rStyle w:val="a5"/>
            <w:color w:val="auto"/>
            <w:sz w:val="28"/>
            <w:szCs w:val="28"/>
          </w:rPr>
          <w:t>пункт 33</w:t>
        </w:r>
      </w:hyperlink>
      <w:r w:rsidRPr="00B819A4">
        <w:rPr>
          <w:sz w:val="28"/>
          <w:szCs w:val="28"/>
        </w:rPr>
        <w:t xml:space="preserve"> стандарта).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Сведения о мероприятиях, которые включаются в "дорожную карту", должны содержать: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наименование мероприятия;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проблему, на решение которой направлено мероприятие;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срок разработки и реализации;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документ, который должен быть принят в целях реализации мероприятия;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исполнители и соисполнители, ответственные за разработку и реализацию мероприятия;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ожидаемые результаты развития конкуренции от реализации мероприятия.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Мероприятия должны соотноситься с выявленными проблемами на товарном рынке и быть направлены на решение таких проблем.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Основными этапами разработки мероприятий являются: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формулировка проблемы;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постановка цели (описание будущего желаемого состояния, которое может быть достигнуто);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разработка, анализ и оценка вариантов достижения цели;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принятие решения, т.е. выбор наилучшего варианта;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детализация и оформление выбранного варианта;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постановка задачи принятия решения.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Ключевыми вопросами при подготовке мероприятий являются следующие: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какими методами, средствами, способами можно повлиять на выявленную проблему (уменьшить негативное воздействие, устранить);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кто будет вовлечен в реализацию мероприятий (с кем будет осуществляться взаимодействие);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какая информация должна быть доведена до участников рынка и как она будет доведена;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какие преимущества, выгоды или уменьшение негативных воздействий приобретут участники рынка и субъект (муниципальное образование) от реализации мероприятий;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какие предварительные действия необходимо осуществить и какие условия выполнить, чтобы реализовать запланированные мероприятия.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При включении мероприятий, в которых исполнителем/соисполнителем выступают органы местного самоуправления, необходимо определить принципы и порядок взаимодействия органов исполнительной власти субъекта Российской Федерации с органами местного самоуправления. Каждым органом исполнительной власти субъекта РФ и каждым органом местного самоуправления, являющимся ответственными за выполнение мероприятий, предусмотренных "дорожной картой", разрабатывается и утверждается план по реализации таких мероприятий. Мероприятия, предусмотренные иными утвержденными в установленном порядке на федеральном уровне и (или) на уровне субъекта РФ стратегическими и программными документами, реализация которых оказывает влияние на состояние конкуренции, служат неотъемлемым дополнением к мероприятиям, предусмотренным "дорожной картой", и указываются в приложении к ней.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На этапе завершения синхронизации органам местного самоуправления необходимо: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внести изменения в муниципальные перечни товарных рынков и "дорожные карты" в соответствии с рекомендациями, разработанными исполнительными органами государственной власти Республики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разместить актуальные версии правовых актов, утверждающих муниципальный перечень товарных рынков и "дорожную карту", на официальных сайтах муниципальных образований;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направить информацию об актуализации муниципального перечня товарных рынков и "дорожной карты" в уполномоченный орган исполнительной власти Республики Мордовия.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По-прежнему, основными действиями органов местного самоуправления по вопросам развития конкуренции остаются: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участие в реализации составляющих </w:t>
      </w:r>
      <w:hyperlink r:id="rId33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развития конкуренции, обеспечивающих эффективное функционирование рынков товаров и услуг на муниципальном уровне;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разработка и реализация </w:t>
      </w:r>
      <w:hyperlink r:id="rId34" w:history="1">
        <w:r w:rsidRPr="00B819A4">
          <w:rPr>
            <w:rStyle w:val="a5"/>
            <w:color w:val="auto"/>
            <w:sz w:val="28"/>
            <w:szCs w:val="28"/>
          </w:rPr>
          <w:t>Плана</w:t>
        </w:r>
      </w:hyperlink>
      <w:r w:rsidRPr="00B819A4">
        <w:rPr>
          <w:sz w:val="28"/>
          <w:szCs w:val="28"/>
        </w:rPr>
        <w:t xml:space="preserve"> мероприятий ("дорожной карты") по развитию конкуренции на рынках товаров, работ и услуг;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содействие в проведении мониторинга оценки состояния конкурентной среды на рынках товаров, работ и услуг;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проведение мониторинга деятельности хозяйствующих субъектов, доля участия муниципального образования в которых составляет 50 и более процентов;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содействие развитию конкуренции при осуществлении муниципальных закупок, а также закупок хозяйствующих субъектов, доля муниципального образования в которых составляет более 50%.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При разработке мероприятий на следующий период, Минэкономики Республики Мордовия как уполномоченный орган по развитию конкуренции рекомендует органам местного самоуправления включить в "дорожную карту" дополнительные меры поддержки бизнеса из-за санкций, введенных в 2022 году, которые, так или иначе, затронули деятельность всех товарных рынков. Для отечественного бизнеса государством были введены меры поддержки: упрощены правила работы, предоставлены возможности получения субсидий и льготных кредитов, смягчена ответственность за некоторые нарушения, определены послабления в </w:t>
      </w:r>
      <w:hyperlink r:id="rId35" w:history="1">
        <w:r w:rsidRPr="00B819A4">
          <w:rPr>
            <w:rStyle w:val="a5"/>
            <w:color w:val="auto"/>
            <w:sz w:val="28"/>
            <w:szCs w:val="28"/>
          </w:rPr>
          <w:t>налоговом законодательстве</w:t>
        </w:r>
      </w:hyperlink>
      <w:r w:rsidRPr="00B819A4">
        <w:rPr>
          <w:sz w:val="28"/>
          <w:szCs w:val="28"/>
        </w:rPr>
        <w:t xml:space="preserve"> и другие.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</w:p>
    <w:p w:rsidR="00B819A4" w:rsidRDefault="00B819A4" w:rsidP="00B819A4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3"/>
    </w:p>
    <w:p w:rsidR="00B819A4" w:rsidRDefault="00B819A4" w:rsidP="00B819A4">
      <w:pPr>
        <w:pStyle w:val="1"/>
        <w:ind w:lef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819A4" w:rsidRDefault="00B819A4" w:rsidP="00B819A4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B819A4">
        <w:rPr>
          <w:rFonts w:ascii="Times New Roman" w:hAnsi="Times New Roman" w:cs="Times New Roman"/>
          <w:color w:val="auto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Pr="00B819A4">
        <w:rPr>
          <w:rFonts w:ascii="Times New Roman" w:hAnsi="Times New Roman" w:cs="Times New Roman"/>
          <w:color w:val="auto"/>
          <w:sz w:val="28"/>
          <w:szCs w:val="28"/>
        </w:rPr>
        <w:t>3</w:t>
      </w:r>
    </w:p>
    <w:p w:rsidR="00B819A4" w:rsidRPr="00B819A4" w:rsidRDefault="00B819A4" w:rsidP="00B819A4">
      <w:pPr>
        <w:pStyle w:val="1"/>
        <w:ind w:left="567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B819A4">
        <w:rPr>
          <w:rFonts w:ascii="Times New Roman" w:hAnsi="Times New Roman" w:cs="Times New Roman"/>
          <w:color w:val="auto"/>
          <w:sz w:val="28"/>
          <w:szCs w:val="28"/>
        </w:rPr>
        <w:br/>
        <w:t>Рекомендации по размещению органами местного самоуправления информации о деятельности по содействию развитию конкуренции в сети "Интернет"</w:t>
      </w:r>
    </w:p>
    <w:bookmarkEnd w:id="4"/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Размещение информации на официальных сайтах муниципальных образований осуществляется с учетом требования законодательства Российской Федерации:</w:t>
      </w:r>
    </w:p>
    <w:p w:rsidR="00B819A4" w:rsidRPr="00B819A4" w:rsidRDefault="00BE0013" w:rsidP="00B819A4">
      <w:pPr>
        <w:ind w:left="567" w:firstLine="709"/>
        <w:jc w:val="both"/>
        <w:rPr>
          <w:sz w:val="28"/>
          <w:szCs w:val="28"/>
        </w:rPr>
      </w:pPr>
      <w:hyperlink r:id="rId36" w:history="1">
        <w:r w:rsidR="00B819A4" w:rsidRPr="00B819A4">
          <w:rPr>
            <w:rStyle w:val="a5"/>
            <w:color w:val="auto"/>
            <w:sz w:val="28"/>
            <w:szCs w:val="28"/>
          </w:rPr>
          <w:t>Конституцией</w:t>
        </w:r>
      </w:hyperlink>
      <w:r w:rsidR="00B819A4" w:rsidRPr="00B819A4">
        <w:rPr>
          <w:sz w:val="28"/>
          <w:szCs w:val="28"/>
        </w:rPr>
        <w:t xml:space="preserve"> Российской Федерации;</w:t>
      </w:r>
    </w:p>
    <w:p w:rsidR="00B819A4" w:rsidRPr="00B819A4" w:rsidRDefault="00BE0013" w:rsidP="00B819A4">
      <w:pPr>
        <w:ind w:left="567" w:firstLine="709"/>
        <w:jc w:val="both"/>
        <w:rPr>
          <w:sz w:val="28"/>
          <w:szCs w:val="28"/>
        </w:rPr>
      </w:pPr>
      <w:hyperlink r:id="rId37" w:history="1">
        <w:r w:rsidR="00B819A4" w:rsidRPr="00B819A4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="00B819A4" w:rsidRPr="00B819A4">
        <w:rPr>
          <w:sz w:val="28"/>
          <w:szCs w:val="28"/>
        </w:rPr>
        <w:t xml:space="preserve"> от 9 февраля 2009 г. N 8-ФЗ "Об обеспечении доступа к информации о деятельности государственных органов и органов местного самоуправления";</w:t>
      </w:r>
    </w:p>
    <w:p w:rsidR="00B819A4" w:rsidRPr="00B819A4" w:rsidRDefault="00BE0013" w:rsidP="00B819A4">
      <w:pPr>
        <w:ind w:left="567" w:firstLine="709"/>
        <w:jc w:val="both"/>
        <w:rPr>
          <w:sz w:val="28"/>
          <w:szCs w:val="28"/>
        </w:rPr>
      </w:pPr>
      <w:hyperlink r:id="rId38" w:history="1">
        <w:r w:rsidR="00B819A4" w:rsidRPr="00B819A4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="00B819A4" w:rsidRPr="00B819A4">
        <w:rPr>
          <w:sz w:val="28"/>
          <w:szCs w:val="28"/>
        </w:rPr>
        <w:t xml:space="preserve"> от 27 июля 2006 г. N 149-ФЗ "Об информации, информационных технологиях и о защите информации"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При посещении сайта у пользователей должна быть возможность беспрепятственного поиска и получения всей текстовой информации, размещенной на официальном сайте; возможность определения даты и времени размещения информации, а также даты и времени последнего изменения информации на официальном сайте.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Проведенный анализ информации, размещенной в разделах, касающихся развития конкуренции на официальных сайтах администраций муниципальных образований Республики Мордовия, выявил недостатки в размещении информации, в связи с чем были подготовлены рекомендации по доработке указанных сайтов.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Первое, на что хочется обратить внимание - это структура сайта. Структура сайта имеет также очень большое значение. Без хорошей структуры сайт выглядит некорректно, а различные части его кажутся слишком разрозненными. На официальных сайтах некоторых муниципальных образований довольно сложно найти нужную информацию, документы в тематических подразделах размещены хаотично и абсолютно не упорядочены ни по датам, ни по тематике.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rStyle w:val="a9"/>
          <w:color w:val="auto"/>
          <w:sz w:val="28"/>
          <w:szCs w:val="28"/>
        </w:rPr>
        <w:t>В связи с этим министерство рекомендует реализовать: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1. проведение структурирования информации для удобства пользователей и упрощения процесса поиска необходимой информации, то есть осуществление группировки информации по темам и размещение в отдельных рубриках.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2. создание на официальных сайтах Администраций муниципальных образований отдельного раздела "Развитие конкуренции";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3. включение в раздел "Развитие конкуренции" следующих тематических подразделов: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нормативно-правовые акты Российской Федерации: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</w:t>
      </w:r>
      <w:hyperlink r:id="rId39" w:history="1">
        <w:r w:rsidRPr="00B819A4">
          <w:rPr>
            <w:rStyle w:val="a5"/>
            <w:color w:val="auto"/>
            <w:sz w:val="28"/>
            <w:szCs w:val="28"/>
          </w:rPr>
          <w:t>распоряжение</w:t>
        </w:r>
      </w:hyperlink>
      <w:r w:rsidRPr="00B819A4">
        <w:rPr>
          <w:sz w:val="28"/>
          <w:szCs w:val="28"/>
        </w:rPr>
        <w:t xml:space="preserve"> Правительства РФ "Об утверждении Стандарта развития конкуренции в субъектах Российской Федерации";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</w:t>
      </w:r>
      <w:hyperlink r:id="rId40" w:history="1">
        <w:r w:rsidRPr="00B819A4">
          <w:rPr>
            <w:rStyle w:val="a5"/>
            <w:color w:val="auto"/>
            <w:sz w:val="28"/>
            <w:szCs w:val="28"/>
          </w:rPr>
          <w:t>распоряжения</w:t>
        </w:r>
      </w:hyperlink>
      <w:r w:rsidRPr="00B819A4">
        <w:rPr>
          <w:sz w:val="28"/>
          <w:szCs w:val="28"/>
        </w:rPr>
        <w:t xml:space="preserve"> Правительства РФ "Об утверждении Национального плана ("дорожной карты") развития конкуренции в РФ;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другие НПА РФ.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нормативно-правовые акты Республики Мордовия: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</w:t>
      </w:r>
      <w:hyperlink r:id="rId41" w:history="1">
        <w:r w:rsidRPr="00B819A4">
          <w:rPr>
            <w:rStyle w:val="a5"/>
            <w:color w:val="auto"/>
            <w:sz w:val="28"/>
            <w:szCs w:val="28"/>
          </w:rPr>
          <w:t>распоряжение</w:t>
        </w:r>
      </w:hyperlink>
      <w:r w:rsidRPr="00B819A4">
        <w:rPr>
          <w:sz w:val="28"/>
          <w:szCs w:val="28"/>
        </w:rPr>
        <w:t xml:space="preserve"> Правительства РМ "Об утверждении Плана мероприятий ("дорожной карты") по развитию конкуренции в Республике Мордовия" (с изменениями и дополнениями)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</w:t>
      </w:r>
      <w:hyperlink r:id="rId42" w:history="1">
        <w:r w:rsidRPr="00B819A4">
          <w:rPr>
            <w:rStyle w:val="a5"/>
            <w:color w:val="auto"/>
            <w:sz w:val="28"/>
            <w:szCs w:val="28"/>
          </w:rPr>
          <w:t>Указ</w:t>
        </w:r>
      </w:hyperlink>
      <w:r w:rsidRPr="00B819A4">
        <w:rPr>
          <w:sz w:val="28"/>
          <w:szCs w:val="28"/>
        </w:rPr>
        <w:t xml:space="preserve"> Главы Республики Мордовия "О создании Координационного совета по развитию конкуренции в Республике Мордовия" (с изменениями и дополнениями);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другие НПА РМ.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нормативно-правовые акты муниципального образования: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Соглашение о присоединении к Меморандуму о внедрении </w:t>
      </w:r>
      <w:hyperlink r:id="rId43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развития конкуренции и развитии конкурентной среды в условиях действия Стандарта в Республике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- Подписной лист к Соглашению о присоединении к Меморандуму о внедрении </w:t>
      </w:r>
      <w:hyperlink r:id="rId44" w:history="1">
        <w:r w:rsidRPr="00B819A4">
          <w:rPr>
            <w:rStyle w:val="a5"/>
            <w:color w:val="auto"/>
            <w:sz w:val="28"/>
            <w:szCs w:val="28"/>
          </w:rPr>
          <w:t>Стандарта</w:t>
        </w:r>
      </w:hyperlink>
      <w:r w:rsidRPr="00B819A4">
        <w:rPr>
          <w:sz w:val="28"/>
          <w:szCs w:val="28"/>
        </w:rPr>
        <w:t xml:space="preserve"> развития конкуренции и развитии конкурентной среды в условиях действия Стандарта в Республике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Уполномоченный орган (рабочая группа) по содействию развитию конкуренции в муниципальном образовании. Указывается актуальная редакция нормативно-правового акта об определении уполномоченного органа.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другие НПА муниципальных образований.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план мероприятий "дорожная карта" по развитию конкуренции муниципального образования (рекомендуется систематизировать по годам):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План мероприятий "Дорожная карта" по содействию развитию конкуренции в муниципальном образовании.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Перечень товарных рынков для содействия развитию конкуренции в муниципальном образовании.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аналитическая информация о состоянии и развитии конкурентной среды: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отчет о достижении показателей и мероприятий ("дорожной карты") по содействию развитию конкуренции в муниципальном районе;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проведение обучающих мероприятий по 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г.о. Саранск для заинтересованных участников.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мониторинг конкурентной среды на рынках товаров, работ и услуг муниципального образования: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результаты проведенного мониторинга;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информация о мониторинге деятельности муниципальных унитарных предприятий и хозяйствующих субъектов, доля участия муниципального образования в которых составляет 50 и более процентов;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информация о других мониторингах при наличии.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Следует обратить внимание на актуальность размещаемых документов в разделе. На сайтах некоторых муниципальных образований </w:t>
      </w:r>
      <w:hyperlink r:id="rId45" w:history="1">
        <w:r w:rsidRPr="00B819A4">
          <w:rPr>
            <w:rStyle w:val="a5"/>
            <w:color w:val="auto"/>
            <w:sz w:val="28"/>
            <w:szCs w:val="28"/>
          </w:rPr>
          <w:t>Стандарт</w:t>
        </w:r>
      </w:hyperlink>
      <w:r w:rsidRPr="00B819A4">
        <w:rPr>
          <w:sz w:val="28"/>
          <w:szCs w:val="28"/>
        </w:rPr>
        <w:t xml:space="preserve"> размещен только в первоначальной редакции (уже недействующей) или не размещен совсем.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 решению органов местного самоуправления возможно включение подразделов с дополнительной информацией. Например: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информация о результатах рейтинга МО по содействию развитию конкуренции, информация о мерах государственной поддержки негосударственных (немуниципальных) организаций, в том числе субъектов малого и среднего предпринимательства, осуществляющих деятельность на товарных рынках для содействия развитию конкуренции в Республике Мордовия;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 проведении мероприятий, совещаний, семинаров для представителей бизнеса и потребителей товаров, работ, услуг; анкеты опросов; объявления; полезные ссылки и т.д.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4. Создание (если отсутствует) и наполнение раздела "Антимонопольный комплаенс".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В разделе может быть отражена следующая рекомендуемая информация: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Положение об антимонопольном комплаенсе. Актуальная редакция положения об антимонопольном комплаенсе, в том числе информация об уполномоченном органе, коллегиальном органе, показателях эффективности и установленных плановых значениях показателей.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Карта комплаенс-рисков. Актуальная редакция карты комплаенс-рисков. Информация о выявлении рисков. Описание рисков.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План мероприятий по снижению рисков нарушения </w:t>
      </w:r>
      <w:hyperlink r:id="rId46" w:history="1">
        <w:r w:rsidRPr="00B819A4">
          <w:rPr>
            <w:rStyle w:val="a5"/>
            <w:color w:val="auto"/>
            <w:sz w:val="28"/>
            <w:szCs w:val="28"/>
          </w:rPr>
          <w:t>антимонопольного законодательства</w:t>
        </w:r>
      </w:hyperlink>
      <w:r w:rsidRPr="00B819A4">
        <w:rPr>
          <w:sz w:val="28"/>
          <w:szCs w:val="28"/>
        </w:rPr>
        <w:t>. Актуальная редакция плана мероприятий "дорожной карты" по снижению рисков на текущий год. Информация о выполнении.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Доклад об антимонопольном комплаенсе. Доклад об антимонопольном комплаенсе за отчетный период. Информация о рассмотрении на заседании Общественного совета (протокол).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 xml:space="preserve">Иная информация. По решению органов местного самоуправления возможно размещение иной информации. Например: информация о нарушениях </w:t>
      </w:r>
      <w:hyperlink r:id="rId47" w:history="1">
        <w:r w:rsidRPr="00B819A4">
          <w:rPr>
            <w:rStyle w:val="a5"/>
            <w:color w:val="auto"/>
            <w:sz w:val="28"/>
            <w:szCs w:val="28"/>
          </w:rPr>
          <w:t>антимонопольного законодательства</w:t>
        </w:r>
      </w:hyperlink>
      <w:r w:rsidRPr="00B819A4">
        <w:rPr>
          <w:sz w:val="28"/>
          <w:szCs w:val="28"/>
        </w:rPr>
        <w:t>, обучающие материалы и т.д.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Основными замечаниями к размещению информации в указанных разделах на официальных сайтах муниципальных районов Республики Мордовия являются: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неудобный поиск;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информация не структурирована;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в разделах отсутствует необходимая информация;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размещена неактуальная информация;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наличие ссылок, дублирующих переход к одним и тем же разделам (документам);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название ссылки не всегда отражает суть размещенного документа;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документ открывается некорректно, содержит нечитаемый формат;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- документ и (или) наименование ссылки не содержит реквизитов утверждения нормативно-правового акта.</w:t>
      </w:r>
    </w:p>
    <w:p w:rsidR="00B819A4" w:rsidRPr="00B819A4" w:rsidRDefault="00B819A4" w:rsidP="00B819A4">
      <w:pPr>
        <w:ind w:left="567" w:firstLine="709"/>
        <w:jc w:val="both"/>
        <w:rPr>
          <w:sz w:val="28"/>
          <w:szCs w:val="28"/>
        </w:rPr>
      </w:pPr>
      <w:r w:rsidRPr="00B819A4">
        <w:rPr>
          <w:sz w:val="28"/>
          <w:szCs w:val="28"/>
        </w:rPr>
        <w:t>Следует принять во внимание, что не допускаются расхождения между одними и теми же сведениями, размещаемыми в разных разделах официального сайта. Информация на сайте должна быть достоверной и актуальной, в связи с чем, необходимо своевременно обновлять данные.</w:t>
      </w:r>
    </w:p>
    <w:p w:rsidR="00B819A4" w:rsidRPr="00B819A4" w:rsidRDefault="00B819A4" w:rsidP="00B819A4">
      <w:pPr>
        <w:spacing w:before="1"/>
        <w:ind w:left="567" w:right="178" w:firstLine="709"/>
        <w:jc w:val="both"/>
        <w:rPr>
          <w:sz w:val="28"/>
          <w:szCs w:val="28"/>
        </w:rPr>
      </w:pPr>
    </w:p>
    <w:p w:rsidR="00B819A4" w:rsidRPr="00B92400" w:rsidRDefault="00B819A4" w:rsidP="00B819A4">
      <w:pPr>
        <w:pStyle w:val="a3"/>
        <w:spacing w:before="8"/>
        <w:ind w:left="567" w:firstLine="709"/>
        <w:jc w:val="both"/>
        <w:rPr>
          <w:b/>
        </w:rPr>
      </w:pPr>
    </w:p>
    <w:sectPr w:rsidR="00B819A4" w:rsidRPr="00B92400" w:rsidSect="000A2AF8">
      <w:pgSz w:w="11910" w:h="16840"/>
      <w:pgMar w:top="960" w:right="980" w:bottom="280" w:left="780" w:header="74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8CD" w:rsidRDefault="001978CD" w:rsidP="000A2AF8">
      <w:r>
        <w:separator/>
      </w:r>
    </w:p>
  </w:endnote>
  <w:endnote w:type="continuationSeparator" w:id="1">
    <w:p w:rsidR="001978CD" w:rsidRDefault="001978CD" w:rsidP="000A2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8CD" w:rsidRDefault="001978CD" w:rsidP="000A2AF8">
      <w:r>
        <w:separator/>
      </w:r>
    </w:p>
  </w:footnote>
  <w:footnote w:type="continuationSeparator" w:id="1">
    <w:p w:rsidR="001978CD" w:rsidRDefault="001978CD" w:rsidP="000A2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5ED" w:rsidRDefault="00BE0013">
    <w:pPr>
      <w:pStyle w:val="a3"/>
      <w:spacing w:line="14" w:lineRule="auto"/>
      <w:rPr>
        <w:sz w:val="20"/>
      </w:rPr>
    </w:pPr>
    <w:r w:rsidRPr="00BE001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4.6pt;margin-top:36.45pt;width:17.3pt;height:13.05pt;z-index:-251658752;mso-position-horizontal-relative:page;mso-position-vertical-relative:page" filled="f" stroked="f">
          <v:textbox inset="0,0,0,0">
            <w:txbxContent>
              <w:p w:rsidR="002655ED" w:rsidRDefault="00BE001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2655ED">
                  <w:rPr>
                    <w:rFonts w:ascii="Calibri"/>
                    <w:color w:val="000009"/>
                  </w:rPr>
                  <w:instrText xml:space="preserve"> PAGE </w:instrText>
                </w:r>
                <w:r>
                  <w:fldChar w:fldCharType="separate"/>
                </w:r>
                <w:r w:rsidR="00365340">
                  <w:rPr>
                    <w:rFonts w:ascii="Calibri"/>
                    <w:noProof/>
                    <w:color w:val="000009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41D8"/>
    <w:multiLevelType w:val="hybridMultilevel"/>
    <w:tmpl w:val="66683492"/>
    <w:lvl w:ilvl="0" w:tplc="43D841C6">
      <w:start w:val="1"/>
      <w:numFmt w:val="decimal"/>
      <w:lvlText w:val="%1)"/>
      <w:lvlJc w:val="left"/>
      <w:pPr>
        <w:ind w:left="638" w:hanging="528"/>
      </w:pPr>
      <w:rPr>
        <w:rFonts w:hint="default"/>
        <w:w w:val="100"/>
        <w:lang w:val="ru-RU" w:eastAsia="en-US" w:bidi="ar-SA"/>
      </w:rPr>
    </w:lvl>
    <w:lvl w:ilvl="1" w:tplc="B3AC53DA">
      <w:numFmt w:val="bullet"/>
      <w:lvlText w:val="•"/>
      <w:lvlJc w:val="left"/>
      <w:pPr>
        <w:ind w:left="1590" w:hanging="528"/>
      </w:pPr>
      <w:rPr>
        <w:rFonts w:hint="default"/>
        <w:lang w:val="ru-RU" w:eastAsia="en-US" w:bidi="ar-SA"/>
      </w:rPr>
    </w:lvl>
    <w:lvl w:ilvl="2" w:tplc="4F503D92">
      <w:numFmt w:val="bullet"/>
      <w:lvlText w:val="•"/>
      <w:lvlJc w:val="left"/>
      <w:pPr>
        <w:ind w:left="2541" w:hanging="528"/>
      </w:pPr>
      <w:rPr>
        <w:rFonts w:hint="default"/>
        <w:lang w:val="ru-RU" w:eastAsia="en-US" w:bidi="ar-SA"/>
      </w:rPr>
    </w:lvl>
    <w:lvl w:ilvl="3" w:tplc="8ADEFC58">
      <w:numFmt w:val="bullet"/>
      <w:lvlText w:val="•"/>
      <w:lvlJc w:val="left"/>
      <w:pPr>
        <w:ind w:left="3491" w:hanging="528"/>
      </w:pPr>
      <w:rPr>
        <w:rFonts w:hint="default"/>
        <w:lang w:val="ru-RU" w:eastAsia="en-US" w:bidi="ar-SA"/>
      </w:rPr>
    </w:lvl>
    <w:lvl w:ilvl="4" w:tplc="73E22150">
      <w:numFmt w:val="bullet"/>
      <w:lvlText w:val="•"/>
      <w:lvlJc w:val="left"/>
      <w:pPr>
        <w:ind w:left="4442" w:hanging="528"/>
      </w:pPr>
      <w:rPr>
        <w:rFonts w:hint="default"/>
        <w:lang w:val="ru-RU" w:eastAsia="en-US" w:bidi="ar-SA"/>
      </w:rPr>
    </w:lvl>
    <w:lvl w:ilvl="5" w:tplc="7EA6171E">
      <w:numFmt w:val="bullet"/>
      <w:lvlText w:val="•"/>
      <w:lvlJc w:val="left"/>
      <w:pPr>
        <w:ind w:left="5393" w:hanging="528"/>
      </w:pPr>
      <w:rPr>
        <w:rFonts w:hint="default"/>
        <w:lang w:val="ru-RU" w:eastAsia="en-US" w:bidi="ar-SA"/>
      </w:rPr>
    </w:lvl>
    <w:lvl w:ilvl="6" w:tplc="3B964810">
      <w:numFmt w:val="bullet"/>
      <w:lvlText w:val="•"/>
      <w:lvlJc w:val="left"/>
      <w:pPr>
        <w:ind w:left="6343" w:hanging="528"/>
      </w:pPr>
      <w:rPr>
        <w:rFonts w:hint="default"/>
        <w:lang w:val="ru-RU" w:eastAsia="en-US" w:bidi="ar-SA"/>
      </w:rPr>
    </w:lvl>
    <w:lvl w:ilvl="7" w:tplc="FD6A5AE0">
      <w:numFmt w:val="bullet"/>
      <w:lvlText w:val="•"/>
      <w:lvlJc w:val="left"/>
      <w:pPr>
        <w:ind w:left="7294" w:hanging="528"/>
      </w:pPr>
      <w:rPr>
        <w:rFonts w:hint="default"/>
        <w:lang w:val="ru-RU" w:eastAsia="en-US" w:bidi="ar-SA"/>
      </w:rPr>
    </w:lvl>
    <w:lvl w:ilvl="8" w:tplc="987C4B7E">
      <w:numFmt w:val="bullet"/>
      <w:lvlText w:val="•"/>
      <w:lvlJc w:val="left"/>
      <w:pPr>
        <w:ind w:left="8245" w:hanging="528"/>
      </w:pPr>
      <w:rPr>
        <w:rFonts w:hint="default"/>
        <w:lang w:val="ru-RU" w:eastAsia="en-US" w:bidi="ar-SA"/>
      </w:rPr>
    </w:lvl>
  </w:abstractNum>
  <w:abstractNum w:abstractNumId="1">
    <w:nsid w:val="1F92582C"/>
    <w:multiLevelType w:val="hybridMultilevel"/>
    <w:tmpl w:val="D58CDEFE"/>
    <w:lvl w:ilvl="0" w:tplc="7790424A">
      <w:start w:val="1"/>
      <w:numFmt w:val="decimal"/>
      <w:lvlText w:val="%1."/>
      <w:lvlJc w:val="left"/>
      <w:pPr>
        <w:ind w:left="1627" w:hanging="281"/>
      </w:pPr>
      <w:rPr>
        <w:rFonts w:hint="default"/>
        <w:b/>
        <w:bCs/>
        <w:w w:val="100"/>
        <w:lang w:val="ru-RU" w:eastAsia="en-US" w:bidi="ar-SA"/>
      </w:rPr>
    </w:lvl>
    <w:lvl w:ilvl="1" w:tplc="6686A17E">
      <w:numFmt w:val="bullet"/>
      <w:lvlText w:val="•"/>
      <w:lvlJc w:val="left"/>
      <w:pPr>
        <w:ind w:left="2472" w:hanging="281"/>
      </w:pPr>
      <w:rPr>
        <w:rFonts w:hint="default"/>
        <w:lang w:val="ru-RU" w:eastAsia="en-US" w:bidi="ar-SA"/>
      </w:rPr>
    </w:lvl>
    <w:lvl w:ilvl="2" w:tplc="CF1AABB8">
      <w:numFmt w:val="bullet"/>
      <w:lvlText w:val="•"/>
      <w:lvlJc w:val="left"/>
      <w:pPr>
        <w:ind w:left="3325" w:hanging="281"/>
      </w:pPr>
      <w:rPr>
        <w:rFonts w:hint="default"/>
        <w:lang w:val="ru-RU" w:eastAsia="en-US" w:bidi="ar-SA"/>
      </w:rPr>
    </w:lvl>
    <w:lvl w:ilvl="3" w:tplc="38662A3A">
      <w:numFmt w:val="bullet"/>
      <w:lvlText w:val="•"/>
      <w:lvlJc w:val="left"/>
      <w:pPr>
        <w:ind w:left="4177" w:hanging="281"/>
      </w:pPr>
      <w:rPr>
        <w:rFonts w:hint="default"/>
        <w:lang w:val="ru-RU" w:eastAsia="en-US" w:bidi="ar-SA"/>
      </w:rPr>
    </w:lvl>
    <w:lvl w:ilvl="4" w:tplc="54DA81D6">
      <w:numFmt w:val="bullet"/>
      <w:lvlText w:val="•"/>
      <w:lvlJc w:val="left"/>
      <w:pPr>
        <w:ind w:left="5030" w:hanging="281"/>
      </w:pPr>
      <w:rPr>
        <w:rFonts w:hint="default"/>
        <w:lang w:val="ru-RU" w:eastAsia="en-US" w:bidi="ar-SA"/>
      </w:rPr>
    </w:lvl>
    <w:lvl w:ilvl="5" w:tplc="62ACEFA6">
      <w:numFmt w:val="bullet"/>
      <w:lvlText w:val="•"/>
      <w:lvlJc w:val="left"/>
      <w:pPr>
        <w:ind w:left="5883" w:hanging="281"/>
      </w:pPr>
      <w:rPr>
        <w:rFonts w:hint="default"/>
        <w:lang w:val="ru-RU" w:eastAsia="en-US" w:bidi="ar-SA"/>
      </w:rPr>
    </w:lvl>
    <w:lvl w:ilvl="6" w:tplc="6C6273C6">
      <w:numFmt w:val="bullet"/>
      <w:lvlText w:val="•"/>
      <w:lvlJc w:val="left"/>
      <w:pPr>
        <w:ind w:left="6735" w:hanging="281"/>
      </w:pPr>
      <w:rPr>
        <w:rFonts w:hint="default"/>
        <w:lang w:val="ru-RU" w:eastAsia="en-US" w:bidi="ar-SA"/>
      </w:rPr>
    </w:lvl>
    <w:lvl w:ilvl="7" w:tplc="E8B61892">
      <w:numFmt w:val="bullet"/>
      <w:lvlText w:val="•"/>
      <w:lvlJc w:val="left"/>
      <w:pPr>
        <w:ind w:left="7588" w:hanging="281"/>
      </w:pPr>
      <w:rPr>
        <w:rFonts w:hint="default"/>
        <w:lang w:val="ru-RU" w:eastAsia="en-US" w:bidi="ar-SA"/>
      </w:rPr>
    </w:lvl>
    <w:lvl w:ilvl="8" w:tplc="E2800D00">
      <w:numFmt w:val="bullet"/>
      <w:lvlText w:val="•"/>
      <w:lvlJc w:val="left"/>
      <w:pPr>
        <w:ind w:left="8441" w:hanging="281"/>
      </w:pPr>
      <w:rPr>
        <w:rFonts w:hint="default"/>
        <w:lang w:val="ru-RU" w:eastAsia="en-US" w:bidi="ar-SA"/>
      </w:rPr>
    </w:lvl>
  </w:abstractNum>
  <w:abstractNum w:abstractNumId="2">
    <w:nsid w:val="5BC43353"/>
    <w:multiLevelType w:val="hybridMultilevel"/>
    <w:tmpl w:val="80EC488C"/>
    <w:lvl w:ilvl="0" w:tplc="7AC0BC1C">
      <w:start w:val="1"/>
      <w:numFmt w:val="decimal"/>
      <w:lvlText w:val="%1."/>
      <w:lvlJc w:val="left"/>
      <w:pPr>
        <w:ind w:left="1627" w:hanging="281"/>
      </w:pPr>
      <w:rPr>
        <w:rFonts w:hint="default"/>
        <w:spacing w:val="0"/>
        <w:w w:val="100"/>
        <w:lang w:val="ru-RU" w:eastAsia="en-US" w:bidi="ar-SA"/>
      </w:rPr>
    </w:lvl>
    <w:lvl w:ilvl="1" w:tplc="108C0F8E">
      <w:numFmt w:val="bullet"/>
      <w:lvlText w:val="•"/>
      <w:lvlJc w:val="left"/>
      <w:pPr>
        <w:ind w:left="2472" w:hanging="281"/>
      </w:pPr>
      <w:rPr>
        <w:rFonts w:hint="default"/>
        <w:lang w:val="ru-RU" w:eastAsia="en-US" w:bidi="ar-SA"/>
      </w:rPr>
    </w:lvl>
    <w:lvl w:ilvl="2" w:tplc="08003570">
      <w:numFmt w:val="bullet"/>
      <w:lvlText w:val="•"/>
      <w:lvlJc w:val="left"/>
      <w:pPr>
        <w:ind w:left="3325" w:hanging="281"/>
      </w:pPr>
      <w:rPr>
        <w:rFonts w:hint="default"/>
        <w:lang w:val="ru-RU" w:eastAsia="en-US" w:bidi="ar-SA"/>
      </w:rPr>
    </w:lvl>
    <w:lvl w:ilvl="3" w:tplc="5080B308">
      <w:numFmt w:val="bullet"/>
      <w:lvlText w:val="•"/>
      <w:lvlJc w:val="left"/>
      <w:pPr>
        <w:ind w:left="4177" w:hanging="281"/>
      </w:pPr>
      <w:rPr>
        <w:rFonts w:hint="default"/>
        <w:lang w:val="ru-RU" w:eastAsia="en-US" w:bidi="ar-SA"/>
      </w:rPr>
    </w:lvl>
    <w:lvl w:ilvl="4" w:tplc="E74021FA">
      <w:numFmt w:val="bullet"/>
      <w:lvlText w:val="•"/>
      <w:lvlJc w:val="left"/>
      <w:pPr>
        <w:ind w:left="5030" w:hanging="281"/>
      </w:pPr>
      <w:rPr>
        <w:rFonts w:hint="default"/>
        <w:lang w:val="ru-RU" w:eastAsia="en-US" w:bidi="ar-SA"/>
      </w:rPr>
    </w:lvl>
    <w:lvl w:ilvl="5" w:tplc="C652C590">
      <w:numFmt w:val="bullet"/>
      <w:lvlText w:val="•"/>
      <w:lvlJc w:val="left"/>
      <w:pPr>
        <w:ind w:left="5883" w:hanging="281"/>
      </w:pPr>
      <w:rPr>
        <w:rFonts w:hint="default"/>
        <w:lang w:val="ru-RU" w:eastAsia="en-US" w:bidi="ar-SA"/>
      </w:rPr>
    </w:lvl>
    <w:lvl w:ilvl="6" w:tplc="B372D02C">
      <w:numFmt w:val="bullet"/>
      <w:lvlText w:val="•"/>
      <w:lvlJc w:val="left"/>
      <w:pPr>
        <w:ind w:left="6735" w:hanging="281"/>
      </w:pPr>
      <w:rPr>
        <w:rFonts w:hint="default"/>
        <w:lang w:val="ru-RU" w:eastAsia="en-US" w:bidi="ar-SA"/>
      </w:rPr>
    </w:lvl>
    <w:lvl w:ilvl="7" w:tplc="D2C2DBCE">
      <w:numFmt w:val="bullet"/>
      <w:lvlText w:val="•"/>
      <w:lvlJc w:val="left"/>
      <w:pPr>
        <w:ind w:left="7588" w:hanging="281"/>
      </w:pPr>
      <w:rPr>
        <w:rFonts w:hint="default"/>
        <w:lang w:val="ru-RU" w:eastAsia="en-US" w:bidi="ar-SA"/>
      </w:rPr>
    </w:lvl>
    <w:lvl w:ilvl="8" w:tplc="ECECDD22">
      <w:numFmt w:val="bullet"/>
      <w:lvlText w:val="•"/>
      <w:lvlJc w:val="left"/>
      <w:pPr>
        <w:ind w:left="8441" w:hanging="281"/>
      </w:pPr>
      <w:rPr>
        <w:rFonts w:hint="default"/>
        <w:lang w:val="ru-RU" w:eastAsia="en-US" w:bidi="ar-SA"/>
      </w:rPr>
    </w:lvl>
  </w:abstractNum>
  <w:abstractNum w:abstractNumId="3">
    <w:nsid w:val="6FA423FF"/>
    <w:multiLevelType w:val="hybridMultilevel"/>
    <w:tmpl w:val="5F50F3C4"/>
    <w:lvl w:ilvl="0" w:tplc="4B5ED936">
      <w:start w:val="1"/>
      <w:numFmt w:val="decimal"/>
      <w:lvlText w:val="%1)"/>
      <w:lvlJc w:val="left"/>
      <w:pPr>
        <w:ind w:left="1651" w:hanging="305"/>
      </w:pPr>
      <w:rPr>
        <w:rFonts w:hint="default"/>
        <w:spacing w:val="0"/>
        <w:w w:val="100"/>
        <w:lang w:val="ru-RU" w:eastAsia="en-US" w:bidi="ar-SA"/>
      </w:rPr>
    </w:lvl>
    <w:lvl w:ilvl="1" w:tplc="9E3856EE">
      <w:numFmt w:val="bullet"/>
      <w:lvlText w:val="•"/>
      <w:lvlJc w:val="left"/>
      <w:pPr>
        <w:ind w:left="2508" w:hanging="305"/>
      </w:pPr>
      <w:rPr>
        <w:rFonts w:hint="default"/>
        <w:lang w:val="ru-RU" w:eastAsia="en-US" w:bidi="ar-SA"/>
      </w:rPr>
    </w:lvl>
    <w:lvl w:ilvl="2" w:tplc="58C87628">
      <w:numFmt w:val="bullet"/>
      <w:lvlText w:val="•"/>
      <w:lvlJc w:val="left"/>
      <w:pPr>
        <w:ind w:left="3357" w:hanging="305"/>
      </w:pPr>
      <w:rPr>
        <w:rFonts w:hint="default"/>
        <w:lang w:val="ru-RU" w:eastAsia="en-US" w:bidi="ar-SA"/>
      </w:rPr>
    </w:lvl>
    <w:lvl w:ilvl="3" w:tplc="52A883FC">
      <w:numFmt w:val="bullet"/>
      <w:lvlText w:val="•"/>
      <w:lvlJc w:val="left"/>
      <w:pPr>
        <w:ind w:left="4205" w:hanging="305"/>
      </w:pPr>
      <w:rPr>
        <w:rFonts w:hint="default"/>
        <w:lang w:val="ru-RU" w:eastAsia="en-US" w:bidi="ar-SA"/>
      </w:rPr>
    </w:lvl>
    <w:lvl w:ilvl="4" w:tplc="DD8CC622">
      <w:numFmt w:val="bullet"/>
      <w:lvlText w:val="•"/>
      <w:lvlJc w:val="left"/>
      <w:pPr>
        <w:ind w:left="5054" w:hanging="305"/>
      </w:pPr>
      <w:rPr>
        <w:rFonts w:hint="default"/>
        <w:lang w:val="ru-RU" w:eastAsia="en-US" w:bidi="ar-SA"/>
      </w:rPr>
    </w:lvl>
    <w:lvl w:ilvl="5" w:tplc="B38A4996">
      <w:numFmt w:val="bullet"/>
      <w:lvlText w:val="•"/>
      <w:lvlJc w:val="left"/>
      <w:pPr>
        <w:ind w:left="5903" w:hanging="305"/>
      </w:pPr>
      <w:rPr>
        <w:rFonts w:hint="default"/>
        <w:lang w:val="ru-RU" w:eastAsia="en-US" w:bidi="ar-SA"/>
      </w:rPr>
    </w:lvl>
    <w:lvl w:ilvl="6" w:tplc="53CC3916">
      <w:numFmt w:val="bullet"/>
      <w:lvlText w:val="•"/>
      <w:lvlJc w:val="left"/>
      <w:pPr>
        <w:ind w:left="6751" w:hanging="305"/>
      </w:pPr>
      <w:rPr>
        <w:rFonts w:hint="default"/>
        <w:lang w:val="ru-RU" w:eastAsia="en-US" w:bidi="ar-SA"/>
      </w:rPr>
    </w:lvl>
    <w:lvl w:ilvl="7" w:tplc="4A82CFE2">
      <w:numFmt w:val="bullet"/>
      <w:lvlText w:val="•"/>
      <w:lvlJc w:val="left"/>
      <w:pPr>
        <w:ind w:left="7600" w:hanging="305"/>
      </w:pPr>
      <w:rPr>
        <w:rFonts w:hint="default"/>
        <w:lang w:val="ru-RU" w:eastAsia="en-US" w:bidi="ar-SA"/>
      </w:rPr>
    </w:lvl>
    <w:lvl w:ilvl="8" w:tplc="8C6A53D4">
      <w:numFmt w:val="bullet"/>
      <w:lvlText w:val="•"/>
      <w:lvlJc w:val="left"/>
      <w:pPr>
        <w:ind w:left="8449" w:hanging="30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A2AF8"/>
    <w:rsid w:val="000A2AF8"/>
    <w:rsid w:val="001978CD"/>
    <w:rsid w:val="001C68AC"/>
    <w:rsid w:val="001F0A94"/>
    <w:rsid w:val="002655ED"/>
    <w:rsid w:val="00365340"/>
    <w:rsid w:val="005569C2"/>
    <w:rsid w:val="005E1FD4"/>
    <w:rsid w:val="0061440F"/>
    <w:rsid w:val="0076760E"/>
    <w:rsid w:val="007A499C"/>
    <w:rsid w:val="007F729C"/>
    <w:rsid w:val="00B819A4"/>
    <w:rsid w:val="00B92349"/>
    <w:rsid w:val="00B92400"/>
    <w:rsid w:val="00BE0013"/>
    <w:rsid w:val="00D97FEE"/>
    <w:rsid w:val="00E202B0"/>
    <w:rsid w:val="00E95004"/>
    <w:rsid w:val="00F5493B"/>
    <w:rsid w:val="00F85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A2AF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1F0A94"/>
    <w:pPr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2AF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A2AF8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A2AF8"/>
    <w:pPr>
      <w:ind w:left="638" w:right="178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0A2AF8"/>
    <w:pPr>
      <w:spacing w:before="6" w:line="318" w:lineRule="exact"/>
      <w:ind w:left="1346"/>
      <w:jc w:val="both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0A2AF8"/>
    <w:pPr>
      <w:spacing w:line="322" w:lineRule="exact"/>
      <w:ind w:left="1769" w:hanging="424"/>
    </w:pPr>
  </w:style>
  <w:style w:type="paragraph" w:customStyle="1" w:styleId="TableParagraph">
    <w:name w:val="Table Paragraph"/>
    <w:basedOn w:val="a"/>
    <w:uiPriority w:val="1"/>
    <w:qFormat/>
    <w:rsid w:val="000A2AF8"/>
    <w:pPr>
      <w:spacing w:line="301" w:lineRule="exact"/>
      <w:ind w:left="108"/>
      <w:jc w:val="center"/>
    </w:pPr>
  </w:style>
  <w:style w:type="character" w:customStyle="1" w:styleId="a5">
    <w:name w:val="Гипертекстовая ссылка"/>
    <w:basedOn w:val="a0"/>
    <w:uiPriority w:val="99"/>
    <w:rsid w:val="002655ED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F0A9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val="ru-RU" w:eastAsia="ru-RU"/>
    </w:rPr>
  </w:style>
  <w:style w:type="paragraph" w:customStyle="1" w:styleId="a6">
    <w:name w:val="Нормальный (таблица)"/>
    <w:basedOn w:val="a"/>
    <w:next w:val="a"/>
    <w:uiPriority w:val="99"/>
    <w:rsid w:val="001F0A94"/>
    <w:pPr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F0A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0A94"/>
    <w:rPr>
      <w:rFonts w:ascii="Tahoma" w:eastAsia="Times New Roman" w:hAnsi="Tahoma" w:cs="Tahoma"/>
      <w:sz w:val="16"/>
      <w:szCs w:val="16"/>
      <w:lang w:val="ru-RU"/>
    </w:rPr>
  </w:style>
  <w:style w:type="character" w:customStyle="1" w:styleId="a9">
    <w:name w:val="Цветовое выделение"/>
    <w:uiPriority w:val="99"/>
    <w:rsid w:val="00B819A4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://internet.garant.ru/document/redirect/72228754/10031" TargetMode="External"/><Relationship Id="rId26" Type="http://schemas.openxmlformats.org/officeDocument/2006/relationships/hyperlink" Target="http://internet.garant.ru/document/redirect/12148517/2" TargetMode="External"/><Relationship Id="rId39" Type="http://schemas.openxmlformats.org/officeDocument/2006/relationships/hyperlink" Target="http://internet.garant.ru/document/redirect/72228754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2228754/1000" TargetMode="External"/><Relationship Id="rId34" Type="http://schemas.openxmlformats.org/officeDocument/2006/relationships/hyperlink" Target="http://internet.garant.ru/document/redirect/73651846/2000" TargetMode="External"/><Relationship Id="rId42" Type="http://schemas.openxmlformats.org/officeDocument/2006/relationships/hyperlink" Target="http://internet.garant.ru/document/redirect/9062548/0" TargetMode="External"/><Relationship Id="rId47" Type="http://schemas.openxmlformats.org/officeDocument/2006/relationships/hyperlink" Target="http://internet.garant.ru/document/redirect/12148517/2" TargetMode="External"/><Relationship Id="rId7" Type="http://schemas.openxmlformats.org/officeDocument/2006/relationships/hyperlink" Target="http://internet.garant.ru/document/redirect/71839482/0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://internet.garant.ru/document/redirect/72228754/10021" TargetMode="External"/><Relationship Id="rId25" Type="http://schemas.openxmlformats.org/officeDocument/2006/relationships/hyperlink" Target="http://internet.garant.ru/document/redirect/72228754/11000" TargetMode="External"/><Relationship Id="rId33" Type="http://schemas.openxmlformats.org/officeDocument/2006/relationships/hyperlink" Target="http://internet.garant.ru/document/redirect/72228754/1000" TargetMode="External"/><Relationship Id="rId38" Type="http://schemas.openxmlformats.org/officeDocument/2006/relationships/hyperlink" Target="http://internet.garant.ru/document/redirect/12148555/0" TargetMode="External"/><Relationship Id="rId46" Type="http://schemas.openxmlformats.org/officeDocument/2006/relationships/hyperlink" Target="http://internet.garant.ru/document/redirect/12148517/2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internet.garant.ru/document/redirect/72228754/1000" TargetMode="External"/><Relationship Id="rId29" Type="http://schemas.openxmlformats.org/officeDocument/2006/relationships/hyperlink" Target="http://internet.garant.ru/document/redirect/73651846/0" TargetMode="External"/><Relationship Id="rId41" Type="http://schemas.openxmlformats.org/officeDocument/2006/relationships/hyperlink" Target="http://internet.garant.ru/document/redirect/9045899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hyperlink" Target="http://internet.garant.ru/document/redirect/186367/160133" TargetMode="External"/><Relationship Id="rId32" Type="http://schemas.openxmlformats.org/officeDocument/2006/relationships/hyperlink" Target="http://internet.garant.ru/document/redirect/72228754/1033" TargetMode="External"/><Relationship Id="rId37" Type="http://schemas.openxmlformats.org/officeDocument/2006/relationships/hyperlink" Target="http://internet.garant.ru/document/redirect/194874/0" TargetMode="External"/><Relationship Id="rId40" Type="http://schemas.openxmlformats.org/officeDocument/2006/relationships/hyperlink" Target="http://internet.garant.ru/document/redirect/402708842/0" TargetMode="External"/><Relationship Id="rId45" Type="http://schemas.openxmlformats.org/officeDocument/2006/relationships/hyperlink" Target="http://internet.garant.ru/document/redirect/72228754/100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://internet.garant.ru/document/redirect/186367/150125" TargetMode="External"/><Relationship Id="rId28" Type="http://schemas.openxmlformats.org/officeDocument/2006/relationships/hyperlink" Target="http://internet.garant.ru/document/redirect/73651846/2000" TargetMode="External"/><Relationship Id="rId36" Type="http://schemas.openxmlformats.org/officeDocument/2006/relationships/hyperlink" Target="http://internet.garant.ru/document/redirect/10103000/0" TargetMode="External"/><Relationship Id="rId49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internet.garant.ru/document/redirect/72228754/1000" TargetMode="External"/><Relationship Id="rId31" Type="http://schemas.openxmlformats.org/officeDocument/2006/relationships/hyperlink" Target="http://internet.garant.ru/document/redirect/72228754/1030" TargetMode="External"/><Relationship Id="rId44" Type="http://schemas.openxmlformats.org/officeDocument/2006/relationships/hyperlink" Target="http://internet.garant.ru/document/redirect/72228754/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2228754/1000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internet.garant.ru/document/redirect/72228754/1000" TargetMode="External"/><Relationship Id="rId27" Type="http://schemas.openxmlformats.org/officeDocument/2006/relationships/hyperlink" Target="http://internet.garant.ru/document/redirect/72228754/1000" TargetMode="External"/><Relationship Id="rId30" Type="http://schemas.openxmlformats.org/officeDocument/2006/relationships/hyperlink" Target="http://internet.garant.ru/document/redirect/72228754/11000" TargetMode="External"/><Relationship Id="rId35" Type="http://schemas.openxmlformats.org/officeDocument/2006/relationships/hyperlink" Target="http://internet.garant.ru/document/redirect/10900200/20001" TargetMode="External"/><Relationship Id="rId43" Type="http://schemas.openxmlformats.org/officeDocument/2006/relationships/hyperlink" Target="http://internet.garant.ru/document/redirect/72228754/100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internet.garant.ru/document/redirect/402708842/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19</Pages>
  <Words>5547</Words>
  <Characters>31624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ПРОГРАММА ОБУЧЕНИЯ</vt:lpstr>
      <vt:lpstr>    Саранск 2022 г.</vt:lpstr>
      <vt:lpstr>    Тема №1</vt:lpstr>
      <vt:lpstr>    по итогам 2021 года</vt:lpstr>
      <vt:lpstr>Расчет среднего значения комплексной оценки</vt:lpstr>
      <vt:lpstr>Наличие (отсутствие) административных барьеров</vt:lpstr>
      <vt:lpstr>Области присутствия административных барьеров, %</vt:lpstr>
      <vt:lpstr>Взаимодействие с институтами развития и размещение официальной информации</vt:lpstr>
      <vt:lpstr>Оценка эффективности работы существующих институтов взаимодействия власти и бизн</vt:lpstr>
      <vt:lpstr>Удовлетворенность респондентов понятностью изложения официальной информации о со</vt:lpstr>
      <vt:lpstr>Удовлетворенность населения полнотой официальной информации о состоянии конкурен</vt:lpstr>
      <vt:lpstr>Удовлетворенность населения доступностью официальной информации о состоянии конк</vt:lpstr>
      <vt:lpstr>Удовлетворенность населения деятельностью в сфере финансовых услуг, оказываемых </vt:lpstr>
    </vt:vector>
  </TitlesOfParts>
  <Company>Microsoft</Company>
  <LinksUpToDate>false</LinksUpToDate>
  <CharactersWithSpaces>37097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И. Груздева</dc:creator>
  <cp:lastModifiedBy>Admin</cp:lastModifiedBy>
  <cp:revision>11</cp:revision>
  <dcterms:created xsi:type="dcterms:W3CDTF">2021-11-17T08:14:00Z</dcterms:created>
  <dcterms:modified xsi:type="dcterms:W3CDTF">2022-12-07T06:43:00Z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