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charts/chart1.xml" ContentType="application/vnd.openxmlformats-officedocument.drawingml.chart+xml"/>
  <Override PartName="/word/charts/style1.xml" ContentType="application/vnd.ms-office.chartstyle+xml"/>
  <Override PartName="/word/charts/colors1.xml" ContentType="application/vnd.ms-office.chartcolorstyle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20459" w:rsidRPr="00B20459" w:rsidRDefault="00B20459" w:rsidP="00B20459">
      <w:pPr>
        <w:keepNext/>
        <w:keepLines/>
        <w:spacing w:before="240" w:after="0" w:line="360" w:lineRule="auto"/>
        <w:ind w:firstLine="851"/>
        <w:outlineLvl w:val="0"/>
        <w:rPr>
          <w:rFonts w:ascii="Times New Roman" w:eastAsia="Arial" w:hAnsi="Times New Roman" w:cstheme="majorBidi"/>
          <w:b/>
          <w:sz w:val="28"/>
          <w:szCs w:val="28"/>
          <w:lang w:eastAsia="ru-RU"/>
        </w:rPr>
      </w:pPr>
      <w:bookmarkStart w:id="0" w:name="_Toc103588715"/>
      <w:r w:rsidRPr="00B20459">
        <w:rPr>
          <w:rFonts w:ascii="Times New Roman" w:eastAsia="Arial" w:hAnsi="Times New Roman" w:cstheme="majorBidi"/>
          <w:b/>
          <w:sz w:val="28"/>
          <w:szCs w:val="28"/>
          <w:lang w:eastAsia="ru-RU"/>
        </w:rPr>
        <w:t>1.3. О</w:t>
      </w:r>
      <w:r w:rsidRPr="00B20459">
        <w:rPr>
          <w:rFonts w:ascii="Times New Roman" w:eastAsia="Arial" w:hAnsi="Times New Roman" w:cstheme="majorBidi"/>
          <w:b/>
          <w:spacing w:val="5"/>
          <w:sz w:val="28"/>
          <w:szCs w:val="28"/>
          <w:lang w:eastAsia="ru-RU"/>
        </w:rPr>
        <w:t>б</w:t>
      </w:r>
      <w:r w:rsidRPr="00B20459">
        <w:rPr>
          <w:rFonts w:ascii="Times New Roman" w:eastAsia="Arial" w:hAnsi="Times New Roman" w:cstheme="majorBidi"/>
          <w:b/>
          <w:spacing w:val="-10"/>
          <w:sz w:val="28"/>
          <w:szCs w:val="28"/>
          <w:lang w:eastAsia="ru-RU"/>
        </w:rPr>
        <w:t>щ</w:t>
      </w:r>
      <w:r w:rsidRPr="00B20459">
        <w:rPr>
          <w:rFonts w:ascii="Times New Roman" w:eastAsia="Arial" w:hAnsi="Times New Roman" w:cstheme="majorBidi"/>
          <w:b/>
          <w:sz w:val="28"/>
          <w:szCs w:val="28"/>
          <w:lang w:eastAsia="ru-RU"/>
        </w:rPr>
        <w:t>ие</w:t>
      </w:r>
      <w:r w:rsidRPr="00B20459">
        <w:rPr>
          <w:rFonts w:ascii="Times New Roman" w:eastAsia="Arial" w:hAnsi="Times New Roman" w:cstheme="majorBidi"/>
          <w:b/>
          <w:spacing w:val="1"/>
          <w:sz w:val="28"/>
          <w:szCs w:val="28"/>
          <w:lang w:eastAsia="ru-RU"/>
        </w:rPr>
        <w:t xml:space="preserve"> сведе</w:t>
      </w:r>
      <w:r w:rsidRPr="00B20459">
        <w:rPr>
          <w:rFonts w:ascii="Times New Roman" w:eastAsia="Arial" w:hAnsi="Times New Roman" w:cstheme="majorBidi"/>
          <w:b/>
          <w:sz w:val="28"/>
          <w:szCs w:val="28"/>
          <w:lang w:eastAsia="ru-RU"/>
        </w:rPr>
        <w:t>ния по</w:t>
      </w:r>
      <w:r w:rsidRPr="00B20459">
        <w:rPr>
          <w:rFonts w:ascii="Times New Roman" w:eastAsia="Arial" w:hAnsi="Times New Roman" w:cstheme="majorBidi"/>
          <w:b/>
          <w:spacing w:val="1"/>
          <w:sz w:val="28"/>
          <w:szCs w:val="28"/>
          <w:lang w:eastAsia="ru-RU"/>
        </w:rPr>
        <w:t xml:space="preserve"> </w:t>
      </w:r>
      <w:r w:rsidRPr="00B20459">
        <w:rPr>
          <w:rFonts w:ascii="Times New Roman" w:eastAsia="Arial" w:hAnsi="Times New Roman" w:cstheme="majorBidi"/>
          <w:b/>
          <w:sz w:val="28"/>
          <w:szCs w:val="28"/>
          <w:lang w:eastAsia="ru-RU"/>
        </w:rPr>
        <w:t>п</w:t>
      </w:r>
      <w:r w:rsidRPr="00B20459">
        <w:rPr>
          <w:rFonts w:ascii="Times New Roman" w:eastAsia="Arial" w:hAnsi="Times New Roman" w:cstheme="majorBidi"/>
          <w:b/>
          <w:spacing w:val="-3"/>
          <w:sz w:val="28"/>
          <w:szCs w:val="28"/>
          <w:lang w:eastAsia="ru-RU"/>
        </w:rPr>
        <w:t>о</w:t>
      </w:r>
      <w:r w:rsidRPr="00B20459">
        <w:rPr>
          <w:rFonts w:ascii="Times New Roman" w:eastAsia="Arial" w:hAnsi="Times New Roman" w:cstheme="majorBidi"/>
          <w:b/>
          <w:sz w:val="28"/>
          <w:szCs w:val="28"/>
          <w:lang w:eastAsia="ru-RU"/>
        </w:rPr>
        <w:t>с</w:t>
      </w:r>
      <w:r w:rsidRPr="00B20459">
        <w:rPr>
          <w:rFonts w:ascii="Times New Roman" w:eastAsia="Arial" w:hAnsi="Times New Roman" w:cstheme="majorBidi"/>
          <w:b/>
          <w:spacing w:val="1"/>
          <w:sz w:val="28"/>
          <w:szCs w:val="28"/>
          <w:lang w:eastAsia="ru-RU"/>
        </w:rPr>
        <w:t>еле</w:t>
      </w:r>
      <w:r w:rsidRPr="00B20459">
        <w:rPr>
          <w:rFonts w:ascii="Times New Roman" w:eastAsia="Arial" w:hAnsi="Times New Roman" w:cstheme="majorBidi"/>
          <w:b/>
          <w:sz w:val="28"/>
          <w:szCs w:val="28"/>
          <w:lang w:eastAsia="ru-RU"/>
        </w:rPr>
        <w:t>н</w:t>
      </w:r>
      <w:r w:rsidRPr="00B20459">
        <w:rPr>
          <w:rFonts w:ascii="Times New Roman" w:eastAsia="Arial" w:hAnsi="Times New Roman" w:cstheme="majorBidi"/>
          <w:b/>
          <w:spacing w:val="-4"/>
          <w:sz w:val="28"/>
          <w:szCs w:val="28"/>
          <w:lang w:eastAsia="ru-RU"/>
        </w:rPr>
        <w:t>и</w:t>
      </w:r>
      <w:r w:rsidRPr="00B20459">
        <w:rPr>
          <w:rFonts w:ascii="Times New Roman" w:eastAsia="Arial" w:hAnsi="Times New Roman" w:cstheme="majorBidi"/>
          <w:b/>
          <w:sz w:val="28"/>
          <w:szCs w:val="28"/>
          <w:lang w:eastAsia="ru-RU"/>
        </w:rPr>
        <w:t>ю</w:t>
      </w:r>
      <w:bookmarkEnd w:id="0"/>
    </w:p>
    <w:p w:rsidR="00B20459" w:rsidRPr="00B20459" w:rsidRDefault="00B20459" w:rsidP="00B20459">
      <w:pPr>
        <w:spacing w:after="8" w:line="200" w:lineRule="exact"/>
        <w:ind w:firstLine="851"/>
        <w:rPr>
          <w:rFonts w:ascii="Arial" w:eastAsia="Arial" w:hAnsi="Arial" w:cs="Arial"/>
          <w:sz w:val="20"/>
          <w:szCs w:val="20"/>
          <w:lang w:eastAsia="ru-RU"/>
        </w:rPr>
      </w:pPr>
    </w:p>
    <w:p w:rsidR="00B20459" w:rsidRPr="00B20459" w:rsidRDefault="00B20459" w:rsidP="00B20459">
      <w:pPr>
        <w:spacing w:after="0" w:line="360" w:lineRule="auto"/>
        <w:ind w:right="675" w:firstLine="851"/>
        <w:jc w:val="both"/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  <w:lang w:eastAsia="ru-RU"/>
        </w:rPr>
      </w:pPr>
      <w:r w:rsidRPr="00B20459"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  <w:lang w:eastAsia="ru-RU"/>
        </w:rPr>
        <w:t>Леплей — посёлок, центр сельской администрации в </w:t>
      </w:r>
      <w:hyperlink r:id="rId6" w:tooltip="Темниковский район" w:history="1">
        <w:r w:rsidRPr="00B20459">
          <w:rPr>
            <w:rFonts w:ascii="Times New Roman" w:eastAsiaTheme="minorEastAsia" w:hAnsi="Times New Roman" w:cs="Times New Roman"/>
            <w:sz w:val="24"/>
            <w:szCs w:val="24"/>
            <w:shd w:val="clear" w:color="auto" w:fill="FFFFFF"/>
            <w:lang w:eastAsia="ru-RU"/>
          </w:rPr>
          <w:t>Зубово-Полянском районе</w:t>
        </w:r>
      </w:hyperlink>
      <w:r w:rsidRPr="00B20459"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  <w:lang w:eastAsia="ru-RU"/>
        </w:rPr>
        <w:t>.</w:t>
      </w:r>
    </w:p>
    <w:p w:rsidR="00B20459" w:rsidRPr="00B20459" w:rsidRDefault="00B20459" w:rsidP="00B20459">
      <w:pPr>
        <w:spacing w:after="8" w:line="360" w:lineRule="auto"/>
        <w:ind w:right="675" w:firstLine="851"/>
        <w:jc w:val="both"/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  <w:lang w:eastAsia="ru-RU"/>
        </w:rPr>
      </w:pPr>
      <w:r w:rsidRPr="00B20459">
        <w:rPr>
          <w:rFonts w:ascii="Times New Roman" w:eastAsiaTheme="minorEastAsia" w:hAnsi="Times New Roman" w:cs="Times New Roman"/>
          <w:color w:val="222222"/>
          <w:sz w:val="24"/>
          <w:szCs w:val="24"/>
          <w:shd w:val="clear" w:color="auto" w:fill="FFFFFF"/>
          <w:lang w:eastAsia="ru-RU"/>
        </w:rPr>
        <w:t>Расположен в 35 км от районного центра и 28 км от железенодорожной станции Потьма. В современной инфраструктуре села — детский сад, средняя школа и детская школа искусств, библиотека, амбулатория с дневным стационаром, аптека, дом культуры, стадион, отделение почтовой связи, операционная касса Сбербанка.</w:t>
      </w:r>
    </w:p>
    <w:p w:rsidR="00B20459" w:rsidRPr="00B20459" w:rsidRDefault="00B20459" w:rsidP="00B20459">
      <w:pPr>
        <w:spacing w:after="0" w:line="360" w:lineRule="auto"/>
        <w:ind w:right="675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Нас</w:t>
      </w:r>
      <w:r w:rsidRPr="00B20459">
        <w:rPr>
          <w:rFonts w:ascii="Times New Roman" w:eastAsia="Arial" w:hAnsi="Times New Roman" w:cs="Times New Roman"/>
          <w:color w:val="000000"/>
          <w:spacing w:val="1"/>
          <w:sz w:val="24"/>
          <w:szCs w:val="24"/>
          <w:lang w:eastAsia="ru-RU"/>
        </w:rPr>
        <w:t>е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ле</w:t>
      </w:r>
      <w:r w:rsidRPr="00B20459">
        <w:rPr>
          <w:rFonts w:ascii="Times New Roman" w:eastAsia="Arial" w:hAnsi="Times New Roman" w:cs="Times New Roman"/>
          <w:color w:val="000000"/>
          <w:spacing w:val="1"/>
          <w:sz w:val="24"/>
          <w:szCs w:val="24"/>
          <w:lang w:eastAsia="ru-RU"/>
        </w:rPr>
        <w:t>н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ие</w:t>
      </w:r>
      <w:r w:rsidRPr="00B20459">
        <w:rPr>
          <w:rFonts w:ascii="Times New Roman" w:eastAsia="Arial" w:hAnsi="Times New Roman" w:cs="Times New Roman"/>
          <w:color w:val="000000"/>
          <w:spacing w:val="69"/>
          <w:sz w:val="24"/>
          <w:szCs w:val="24"/>
          <w:lang w:eastAsia="ru-RU"/>
        </w:rPr>
        <w:t xml:space="preserve"> </w:t>
      </w:r>
      <w:r w:rsidRPr="00B20459">
        <w:rPr>
          <w:rFonts w:ascii="Times New Roman" w:eastAsia="Arial" w:hAnsi="Times New Roman" w:cs="Times New Roman"/>
          <w:color w:val="000000"/>
          <w:spacing w:val="1"/>
          <w:sz w:val="24"/>
          <w:szCs w:val="24"/>
          <w:lang w:eastAsia="ru-RU"/>
        </w:rPr>
        <w:t>1278</w:t>
      </w:r>
      <w:r w:rsidRPr="00B20459">
        <w:rPr>
          <w:rFonts w:ascii="Times New Roman" w:eastAsia="Arial" w:hAnsi="Times New Roman" w:cs="Times New Roman"/>
          <w:color w:val="000000"/>
          <w:spacing w:val="2"/>
          <w:sz w:val="24"/>
          <w:szCs w:val="24"/>
          <w:lang w:eastAsia="ru-RU"/>
        </w:rPr>
        <w:t xml:space="preserve"> 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чел</w:t>
      </w:r>
      <w:r w:rsidRPr="00B20459">
        <w:rPr>
          <w:rFonts w:ascii="Times New Roman" w:eastAsia="Arial" w:hAnsi="Times New Roman" w:cs="Times New Roman"/>
          <w:color w:val="000000"/>
          <w:spacing w:val="1"/>
          <w:sz w:val="24"/>
          <w:szCs w:val="24"/>
          <w:lang w:eastAsia="ru-RU"/>
        </w:rPr>
        <w:t>о</w:t>
      </w:r>
      <w:r w:rsidRPr="00B20459">
        <w:rPr>
          <w:rFonts w:ascii="Times New Roman" w:eastAsia="Arial" w:hAnsi="Times New Roman" w:cs="Times New Roman"/>
          <w:color w:val="000000"/>
          <w:spacing w:val="-2"/>
          <w:sz w:val="24"/>
          <w:szCs w:val="24"/>
          <w:lang w:eastAsia="ru-RU"/>
        </w:rPr>
        <w:t>в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е</w:t>
      </w:r>
      <w:r w:rsidRPr="00B20459">
        <w:rPr>
          <w:rFonts w:ascii="Times New Roman" w:eastAsia="Arial" w:hAnsi="Times New Roman" w:cs="Times New Roman"/>
          <w:color w:val="000000"/>
          <w:spacing w:val="1"/>
          <w:sz w:val="24"/>
          <w:szCs w:val="24"/>
          <w:lang w:eastAsia="ru-RU"/>
        </w:rPr>
        <w:t>к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.</w:t>
      </w:r>
    </w:p>
    <w:p w:rsidR="00B20459" w:rsidRPr="00B20459" w:rsidRDefault="00B20459" w:rsidP="00B20459">
      <w:pPr>
        <w:spacing w:after="0" w:line="360" w:lineRule="auto"/>
        <w:ind w:right="675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B20459">
        <w:rPr>
          <w:rFonts w:ascii="Times New Roman" w:eastAsia="Arial" w:hAnsi="Times New Roman" w:cs="Times New Roman"/>
          <w:color w:val="000000"/>
          <w:spacing w:val="-1"/>
          <w:sz w:val="24"/>
          <w:szCs w:val="24"/>
          <w:lang w:eastAsia="ru-RU"/>
        </w:rPr>
        <w:t>Р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асст</w:t>
      </w:r>
      <w:r w:rsidRPr="00B20459">
        <w:rPr>
          <w:rFonts w:ascii="Times New Roman" w:eastAsia="Arial" w:hAnsi="Times New Roman" w:cs="Times New Roman"/>
          <w:color w:val="000000"/>
          <w:spacing w:val="1"/>
          <w:sz w:val="24"/>
          <w:szCs w:val="24"/>
          <w:lang w:eastAsia="ru-RU"/>
        </w:rPr>
        <w:t>о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я</w:t>
      </w:r>
      <w:r w:rsidRPr="00B20459">
        <w:rPr>
          <w:rFonts w:ascii="Times New Roman" w:eastAsia="Arial" w:hAnsi="Times New Roman" w:cs="Times New Roman"/>
          <w:color w:val="000000"/>
          <w:spacing w:val="1"/>
          <w:sz w:val="24"/>
          <w:szCs w:val="24"/>
          <w:lang w:eastAsia="ru-RU"/>
        </w:rPr>
        <w:t>н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ие</w:t>
      </w:r>
      <w:r w:rsidRPr="00B20459">
        <w:rPr>
          <w:rFonts w:ascii="Times New Roman" w:eastAsia="Arial" w:hAnsi="Times New Roman" w:cs="Times New Roman"/>
          <w:color w:val="000000"/>
          <w:spacing w:val="1"/>
          <w:sz w:val="24"/>
          <w:szCs w:val="24"/>
          <w:lang w:eastAsia="ru-RU"/>
        </w:rPr>
        <w:t xml:space="preserve"> о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т</w:t>
      </w:r>
      <w:r w:rsidRPr="00B20459">
        <w:rPr>
          <w:rFonts w:ascii="Times New Roman" w:eastAsia="Arial" w:hAnsi="Times New Roman" w:cs="Times New Roman"/>
          <w:color w:val="000000"/>
          <w:spacing w:val="70"/>
          <w:sz w:val="24"/>
          <w:szCs w:val="24"/>
          <w:lang w:eastAsia="ru-RU"/>
        </w:rPr>
        <w:t xml:space="preserve"> </w:t>
      </w:r>
      <w:r w:rsidRPr="00B20459">
        <w:rPr>
          <w:rFonts w:ascii="Times New Roman" w:eastAsia="Arial" w:hAnsi="Times New Roman" w:cs="Times New Roman"/>
          <w:color w:val="000000"/>
          <w:spacing w:val="1"/>
          <w:sz w:val="24"/>
          <w:szCs w:val="24"/>
          <w:lang w:eastAsia="ru-RU"/>
        </w:rPr>
        <w:t>с. Леплей до рп. Зубова Поляна</w:t>
      </w:r>
      <w:r w:rsidRPr="00B20459">
        <w:rPr>
          <w:rFonts w:ascii="Times New Roman" w:eastAsia="Arial" w:hAnsi="Times New Roman" w:cs="Times New Roman"/>
          <w:color w:val="000000"/>
          <w:spacing w:val="2"/>
          <w:sz w:val="24"/>
          <w:szCs w:val="24"/>
          <w:lang w:eastAsia="ru-RU"/>
        </w:rPr>
        <w:t xml:space="preserve"> - 33 </w:t>
      </w:r>
      <w:r w:rsidRPr="00B20459">
        <w:rPr>
          <w:rFonts w:ascii="Times New Roman" w:eastAsia="Arial" w:hAnsi="Times New Roman" w:cs="Times New Roman"/>
          <w:color w:val="000000"/>
          <w:spacing w:val="-3"/>
          <w:sz w:val="24"/>
          <w:szCs w:val="24"/>
          <w:lang w:eastAsia="ru-RU"/>
        </w:rPr>
        <w:t>к</w:t>
      </w:r>
      <w:r w:rsidRPr="00B20459">
        <w:rPr>
          <w:rFonts w:ascii="Times New Roman" w:eastAsia="Arial" w:hAnsi="Times New Roman" w:cs="Times New Roman"/>
          <w:color w:val="000000"/>
          <w:spacing w:val="-2"/>
          <w:sz w:val="24"/>
          <w:szCs w:val="24"/>
          <w:lang w:eastAsia="ru-RU"/>
        </w:rPr>
        <w:t>м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.</w:t>
      </w:r>
    </w:p>
    <w:p w:rsidR="00B20459" w:rsidRPr="00B20459" w:rsidRDefault="00B20459" w:rsidP="00B20459">
      <w:pPr>
        <w:spacing w:after="0" w:line="360" w:lineRule="auto"/>
        <w:ind w:right="675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B20459">
        <w:rPr>
          <w:rFonts w:ascii="Times New Roman" w:eastAsia="Arial" w:hAnsi="Times New Roman" w:cs="Times New Roman"/>
          <w:color w:val="000000"/>
          <w:spacing w:val="-1"/>
          <w:sz w:val="24"/>
          <w:szCs w:val="24"/>
          <w:lang w:eastAsia="ru-RU"/>
        </w:rPr>
        <w:t>Р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аз</w:t>
      </w:r>
      <w:r w:rsidRPr="00B20459">
        <w:rPr>
          <w:rFonts w:ascii="Times New Roman" w:eastAsia="Arial" w:hAnsi="Times New Roman" w:cs="Times New Roman"/>
          <w:color w:val="000000"/>
          <w:spacing w:val="2"/>
          <w:sz w:val="24"/>
          <w:szCs w:val="24"/>
          <w:lang w:eastAsia="ru-RU"/>
        </w:rPr>
        <w:t>в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итие</w:t>
      </w:r>
      <w:r w:rsidRPr="00B20459">
        <w:rPr>
          <w:rFonts w:ascii="Times New Roman" w:eastAsia="Arial" w:hAnsi="Times New Roman" w:cs="Times New Roman"/>
          <w:color w:val="000000"/>
          <w:spacing w:val="59"/>
          <w:sz w:val="24"/>
          <w:szCs w:val="24"/>
          <w:lang w:eastAsia="ru-RU"/>
        </w:rPr>
        <w:t xml:space="preserve"> </w:t>
      </w:r>
      <w:r w:rsidRPr="00B20459">
        <w:rPr>
          <w:rFonts w:ascii="Times New Roman" w:eastAsia="Arial" w:hAnsi="Times New Roman" w:cs="Times New Roman"/>
          <w:color w:val="000000"/>
          <w:spacing w:val="-2"/>
          <w:sz w:val="24"/>
          <w:szCs w:val="24"/>
          <w:lang w:eastAsia="ru-RU"/>
        </w:rPr>
        <w:t>ц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е</w:t>
      </w:r>
      <w:r w:rsidRPr="00B20459">
        <w:rPr>
          <w:rFonts w:ascii="Times New Roman" w:eastAsia="Arial" w:hAnsi="Times New Roman" w:cs="Times New Roman"/>
          <w:color w:val="000000"/>
          <w:spacing w:val="2"/>
          <w:sz w:val="24"/>
          <w:szCs w:val="24"/>
          <w:lang w:eastAsia="ru-RU"/>
        </w:rPr>
        <w:t>н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т</w:t>
      </w:r>
      <w:r w:rsidRPr="00B20459">
        <w:rPr>
          <w:rFonts w:ascii="Times New Roman" w:eastAsia="Arial" w:hAnsi="Times New Roman" w:cs="Times New Roman"/>
          <w:color w:val="000000"/>
          <w:spacing w:val="1"/>
          <w:sz w:val="24"/>
          <w:szCs w:val="24"/>
          <w:lang w:eastAsia="ru-RU"/>
        </w:rPr>
        <w:t>р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али</w:t>
      </w:r>
      <w:r w:rsidRPr="00B20459">
        <w:rPr>
          <w:rFonts w:ascii="Times New Roman" w:eastAsia="Arial" w:hAnsi="Times New Roman" w:cs="Times New Roman"/>
          <w:color w:val="000000"/>
          <w:spacing w:val="-3"/>
          <w:sz w:val="24"/>
          <w:szCs w:val="24"/>
          <w:lang w:eastAsia="ru-RU"/>
        </w:rPr>
        <w:t>з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о</w:t>
      </w:r>
      <w:r w:rsidRPr="00B20459">
        <w:rPr>
          <w:rFonts w:ascii="Times New Roman" w:eastAsia="Arial" w:hAnsi="Times New Roman" w:cs="Times New Roman"/>
          <w:color w:val="000000"/>
          <w:spacing w:val="1"/>
          <w:sz w:val="24"/>
          <w:szCs w:val="24"/>
          <w:lang w:eastAsia="ru-RU"/>
        </w:rPr>
        <w:t>в</w:t>
      </w:r>
      <w:r w:rsidRPr="00B20459">
        <w:rPr>
          <w:rFonts w:ascii="Times New Roman" w:eastAsia="Arial" w:hAnsi="Times New Roman" w:cs="Times New Roman"/>
          <w:color w:val="000000"/>
          <w:spacing w:val="-3"/>
          <w:sz w:val="24"/>
          <w:szCs w:val="24"/>
          <w:lang w:eastAsia="ru-RU"/>
        </w:rPr>
        <w:t>а</w:t>
      </w:r>
      <w:r w:rsidRPr="00B20459">
        <w:rPr>
          <w:rFonts w:ascii="Times New Roman" w:eastAsia="Arial" w:hAnsi="Times New Roman" w:cs="Times New Roman"/>
          <w:color w:val="000000"/>
          <w:spacing w:val="1"/>
          <w:sz w:val="24"/>
          <w:szCs w:val="24"/>
          <w:lang w:eastAsia="ru-RU"/>
        </w:rPr>
        <w:t>н</w:t>
      </w:r>
      <w:r w:rsidRPr="00B20459">
        <w:rPr>
          <w:rFonts w:ascii="Times New Roman" w:eastAsia="Arial" w:hAnsi="Times New Roman" w:cs="Times New Roman"/>
          <w:color w:val="000000"/>
          <w:spacing w:val="2"/>
          <w:sz w:val="24"/>
          <w:szCs w:val="24"/>
          <w:lang w:eastAsia="ru-RU"/>
        </w:rPr>
        <w:t>н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ых</w:t>
      </w:r>
      <w:r w:rsidRPr="00B20459">
        <w:rPr>
          <w:rFonts w:ascii="Times New Roman" w:eastAsia="Arial" w:hAnsi="Times New Roman" w:cs="Times New Roman"/>
          <w:color w:val="000000"/>
          <w:spacing w:val="53"/>
          <w:sz w:val="24"/>
          <w:szCs w:val="24"/>
          <w:lang w:eastAsia="ru-RU"/>
        </w:rPr>
        <w:t xml:space="preserve"> 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ис</w:t>
      </w:r>
      <w:r w:rsidRPr="00B20459">
        <w:rPr>
          <w:rFonts w:ascii="Times New Roman" w:eastAsia="Arial" w:hAnsi="Times New Roman" w:cs="Times New Roman"/>
          <w:color w:val="000000"/>
          <w:spacing w:val="1"/>
          <w:sz w:val="24"/>
          <w:szCs w:val="24"/>
          <w:lang w:eastAsia="ru-RU"/>
        </w:rPr>
        <w:t>т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оч</w:t>
      </w:r>
      <w:r w:rsidRPr="00B20459">
        <w:rPr>
          <w:rFonts w:ascii="Times New Roman" w:eastAsia="Arial" w:hAnsi="Times New Roman" w:cs="Times New Roman"/>
          <w:color w:val="000000"/>
          <w:spacing w:val="2"/>
          <w:sz w:val="24"/>
          <w:szCs w:val="24"/>
          <w:lang w:eastAsia="ru-RU"/>
        </w:rPr>
        <w:t>н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ик</w:t>
      </w:r>
      <w:r w:rsidRPr="00B20459">
        <w:rPr>
          <w:rFonts w:ascii="Times New Roman" w:eastAsia="Arial" w:hAnsi="Times New Roman" w:cs="Times New Roman"/>
          <w:color w:val="000000"/>
          <w:spacing w:val="-3"/>
          <w:sz w:val="24"/>
          <w:szCs w:val="24"/>
          <w:lang w:eastAsia="ru-RU"/>
        </w:rPr>
        <w:t>о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в</w:t>
      </w:r>
      <w:r w:rsidRPr="00B20459">
        <w:rPr>
          <w:rFonts w:ascii="Times New Roman" w:eastAsia="Arial" w:hAnsi="Times New Roman" w:cs="Times New Roman"/>
          <w:color w:val="000000"/>
          <w:spacing w:val="59"/>
          <w:sz w:val="24"/>
          <w:szCs w:val="24"/>
          <w:lang w:eastAsia="ru-RU"/>
        </w:rPr>
        <w:t xml:space="preserve"> </w:t>
      </w:r>
      <w:r w:rsidRPr="00B20459">
        <w:rPr>
          <w:rFonts w:ascii="Times New Roman" w:eastAsia="Arial" w:hAnsi="Times New Roman" w:cs="Times New Roman"/>
          <w:color w:val="000000"/>
          <w:spacing w:val="-3"/>
          <w:sz w:val="24"/>
          <w:szCs w:val="24"/>
          <w:lang w:eastAsia="ru-RU"/>
        </w:rPr>
        <w:t>т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еп</w:t>
      </w:r>
      <w:r w:rsidRPr="00B20459">
        <w:rPr>
          <w:rFonts w:ascii="Times New Roman" w:eastAsia="Arial" w:hAnsi="Times New Roman" w:cs="Times New Roman"/>
          <w:color w:val="000000"/>
          <w:spacing w:val="-1"/>
          <w:sz w:val="24"/>
          <w:szCs w:val="24"/>
          <w:lang w:eastAsia="ru-RU"/>
        </w:rPr>
        <w:t>л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ос</w:t>
      </w:r>
      <w:r w:rsidRPr="00B20459">
        <w:rPr>
          <w:rFonts w:ascii="Times New Roman" w:eastAsia="Arial" w:hAnsi="Times New Roman" w:cs="Times New Roman"/>
          <w:color w:val="000000"/>
          <w:spacing w:val="2"/>
          <w:sz w:val="24"/>
          <w:szCs w:val="24"/>
          <w:lang w:eastAsia="ru-RU"/>
        </w:rPr>
        <w:t>н</w:t>
      </w:r>
      <w:r w:rsidRPr="00B20459">
        <w:rPr>
          <w:rFonts w:ascii="Times New Roman" w:eastAsia="Arial" w:hAnsi="Times New Roman" w:cs="Times New Roman"/>
          <w:color w:val="000000"/>
          <w:spacing w:val="1"/>
          <w:sz w:val="24"/>
          <w:szCs w:val="24"/>
          <w:lang w:eastAsia="ru-RU"/>
        </w:rPr>
        <w:t>аб</w:t>
      </w:r>
      <w:r w:rsidRPr="00B20459">
        <w:rPr>
          <w:rFonts w:ascii="Times New Roman" w:eastAsia="Arial" w:hAnsi="Times New Roman" w:cs="Times New Roman"/>
          <w:color w:val="000000"/>
          <w:spacing w:val="-1"/>
          <w:sz w:val="24"/>
          <w:szCs w:val="24"/>
          <w:lang w:eastAsia="ru-RU"/>
        </w:rPr>
        <w:t>ж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е</w:t>
      </w:r>
      <w:r w:rsidRPr="00B20459">
        <w:rPr>
          <w:rFonts w:ascii="Times New Roman" w:eastAsia="Arial" w:hAnsi="Times New Roman" w:cs="Times New Roman"/>
          <w:color w:val="000000"/>
          <w:spacing w:val="1"/>
          <w:sz w:val="24"/>
          <w:szCs w:val="24"/>
          <w:lang w:eastAsia="ru-RU"/>
        </w:rPr>
        <w:t>н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ия</w:t>
      </w:r>
      <w:r w:rsidRPr="00B20459">
        <w:rPr>
          <w:rFonts w:ascii="Times New Roman" w:eastAsia="Arial" w:hAnsi="Times New Roman" w:cs="Times New Roman"/>
          <w:color w:val="000000"/>
          <w:spacing w:val="53"/>
          <w:sz w:val="24"/>
          <w:szCs w:val="24"/>
          <w:lang w:eastAsia="ru-RU"/>
        </w:rPr>
        <w:t xml:space="preserve"> </w:t>
      </w:r>
      <w:r w:rsidRPr="00B20459">
        <w:rPr>
          <w:rFonts w:ascii="Times New Roman" w:eastAsia="Arial" w:hAnsi="Times New Roman" w:cs="Times New Roman"/>
          <w:color w:val="000000"/>
          <w:spacing w:val="2"/>
          <w:sz w:val="24"/>
          <w:szCs w:val="24"/>
          <w:lang w:eastAsia="ru-RU"/>
        </w:rPr>
        <w:t>н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е</w:t>
      </w:r>
      <w:r w:rsidRPr="00B20459">
        <w:rPr>
          <w:rFonts w:ascii="Times New Roman" w:eastAsia="Arial" w:hAnsi="Times New Roman" w:cs="Times New Roman"/>
          <w:color w:val="000000"/>
          <w:spacing w:val="58"/>
          <w:sz w:val="24"/>
          <w:szCs w:val="24"/>
          <w:lang w:eastAsia="ru-RU"/>
        </w:rPr>
        <w:t xml:space="preserve"> 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пла</w:t>
      </w:r>
      <w:r w:rsidRPr="00B20459">
        <w:rPr>
          <w:rFonts w:ascii="Times New Roman" w:eastAsia="Arial" w:hAnsi="Times New Roman" w:cs="Times New Roman"/>
          <w:color w:val="000000"/>
          <w:spacing w:val="-2"/>
          <w:sz w:val="24"/>
          <w:szCs w:val="24"/>
          <w:lang w:eastAsia="ru-RU"/>
        </w:rPr>
        <w:t>н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иру</w:t>
      </w:r>
      <w:r w:rsidRPr="00B20459">
        <w:rPr>
          <w:rFonts w:ascii="Times New Roman" w:eastAsia="Arial" w:hAnsi="Times New Roman" w:cs="Times New Roman"/>
          <w:color w:val="000000"/>
          <w:spacing w:val="1"/>
          <w:sz w:val="24"/>
          <w:szCs w:val="24"/>
          <w:lang w:eastAsia="ru-RU"/>
        </w:rPr>
        <w:t>е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 xml:space="preserve">тся. </w:t>
      </w:r>
      <w:r w:rsidRPr="00B20459">
        <w:rPr>
          <w:rFonts w:ascii="Times New Roman" w:eastAsia="Arial" w:hAnsi="Times New Roman" w:cs="Times New Roman"/>
          <w:color w:val="000000"/>
          <w:spacing w:val="-1"/>
          <w:sz w:val="24"/>
          <w:szCs w:val="24"/>
          <w:lang w:eastAsia="ru-RU"/>
        </w:rPr>
        <w:t>В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 xml:space="preserve">се </w:t>
      </w:r>
      <w:r w:rsidRPr="00B20459">
        <w:rPr>
          <w:rFonts w:ascii="Times New Roman" w:eastAsia="Arial" w:hAnsi="Times New Roman" w:cs="Times New Roman"/>
          <w:color w:val="000000"/>
          <w:spacing w:val="1"/>
          <w:sz w:val="24"/>
          <w:szCs w:val="24"/>
          <w:lang w:eastAsia="ru-RU"/>
        </w:rPr>
        <w:t>но</w:t>
      </w:r>
      <w:r w:rsidRPr="00B20459">
        <w:rPr>
          <w:rFonts w:ascii="Times New Roman" w:eastAsia="Arial" w:hAnsi="Times New Roman" w:cs="Times New Roman"/>
          <w:color w:val="000000"/>
          <w:spacing w:val="2"/>
          <w:sz w:val="24"/>
          <w:szCs w:val="24"/>
          <w:lang w:eastAsia="ru-RU"/>
        </w:rPr>
        <w:t>в</w:t>
      </w:r>
      <w:r w:rsidRPr="00B20459">
        <w:rPr>
          <w:rFonts w:ascii="Times New Roman" w:eastAsia="Arial" w:hAnsi="Times New Roman" w:cs="Times New Roman"/>
          <w:color w:val="000000"/>
          <w:spacing w:val="1"/>
          <w:sz w:val="24"/>
          <w:szCs w:val="24"/>
          <w:lang w:eastAsia="ru-RU"/>
        </w:rPr>
        <w:t>о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е с</w:t>
      </w:r>
      <w:r w:rsidRPr="00B20459">
        <w:rPr>
          <w:rFonts w:ascii="Times New Roman" w:eastAsia="Arial" w:hAnsi="Times New Roman" w:cs="Times New Roman"/>
          <w:color w:val="000000"/>
          <w:spacing w:val="-3"/>
          <w:sz w:val="24"/>
          <w:szCs w:val="24"/>
          <w:lang w:eastAsia="ru-RU"/>
        </w:rPr>
        <w:t>т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р</w:t>
      </w:r>
      <w:r w:rsidRPr="00B20459">
        <w:rPr>
          <w:rFonts w:ascii="Times New Roman" w:eastAsia="Arial" w:hAnsi="Times New Roman" w:cs="Times New Roman"/>
          <w:color w:val="000000"/>
          <w:spacing w:val="1"/>
          <w:sz w:val="24"/>
          <w:szCs w:val="24"/>
          <w:lang w:eastAsia="ru-RU"/>
        </w:rPr>
        <w:t>о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ит</w:t>
      </w:r>
      <w:r w:rsidRPr="00B20459">
        <w:rPr>
          <w:rFonts w:ascii="Times New Roman" w:eastAsia="Arial" w:hAnsi="Times New Roman" w:cs="Times New Roman"/>
          <w:color w:val="000000"/>
          <w:spacing w:val="1"/>
          <w:sz w:val="24"/>
          <w:szCs w:val="24"/>
          <w:lang w:eastAsia="ru-RU"/>
        </w:rPr>
        <w:t>е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льст</w:t>
      </w:r>
      <w:r w:rsidRPr="00B20459">
        <w:rPr>
          <w:rFonts w:ascii="Times New Roman" w:eastAsia="Arial" w:hAnsi="Times New Roman" w:cs="Times New Roman"/>
          <w:color w:val="000000"/>
          <w:spacing w:val="-2"/>
          <w:sz w:val="24"/>
          <w:szCs w:val="24"/>
          <w:lang w:eastAsia="ru-RU"/>
        </w:rPr>
        <w:t>в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о</w:t>
      </w:r>
      <w:r w:rsidRPr="00B20459">
        <w:rPr>
          <w:rFonts w:ascii="Times New Roman" w:eastAsia="Arial" w:hAnsi="Times New Roman" w:cs="Times New Roman"/>
          <w:color w:val="000000"/>
          <w:spacing w:val="28"/>
          <w:sz w:val="24"/>
          <w:szCs w:val="24"/>
          <w:lang w:eastAsia="ru-RU"/>
        </w:rPr>
        <w:t xml:space="preserve"> </w:t>
      </w:r>
      <w:r w:rsidRPr="00B20459">
        <w:rPr>
          <w:rFonts w:ascii="Times New Roman" w:eastAsia="Arial" w:hAnsi="Times New Roman" w:cs="Times New Roman"/>
          <w:color w:val="000000"/>
          <w:spacing w:val="-1"/>
          <w:sz w:val="24"/>
          <w:szCs w:val="24"/>
          <w:lang w:eastAsia="ru-RU"/>
        </w:rPr>
        <w:t>ж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или</w:t>
      </w:r>
      <w:r w:rsidRPr="00B20459">
        <w:rPr>
          <w:rFonts w:ascii="Times New Roman" w:eastAsia="Arial" w:hAnsi="Times New Roman" w:cs="Times New Roman"/>
          <w:color w:val="000000"/>
          <w:spacing w:val="-1"/>
          <w:sz w:val="24"/>
          <w:szCs w:val="24"/>
          <w:lang w:eastAsia="ru-RU"/>
        </w:rPr>
        <w:t>щ</w:t>
      </w:r>
      <w:r w:rsidRPr="00B20459">
        <w:rPr>
          <w:rFonts w:ascii="Times New Roman" w:eastAsia="Arial" w:hAnsi="Times New Roman" w:cs="Times New Roman"/>
          <w:color w:val="000000"/>
          <w:spacing w:val="1"/>
          <w:sz w:val="24"/>
          <w:szCs w:val="24"/>
          <w:lang w:eastAsia="ru-RU"/>
        </w:rPr>
        <w:t>но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го</w:t>
      </w:r>
      <w:r w:rsidRPr="00B20459">
        <w:rPr>
          <w:rFonts w:ascii="Times New Roman" w:eastAsia="Arial" w:hAnsi="Times New Roman" w:cs="Times New Roman"/>
          <w:color w:val="000000"/>
          <w:spacing w:val="28"/>
          <w:sz w:val="24"/>
          <w:szCs w:val="24"/>
          <w:lang w:eastAsia="ru-RU"/>
        </w:rPr>
        <w:t xml:space="preserve"> 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фо</w:t>
      </w:r>
      <w:r w:rsidRPr="00B20459">
        <w:rPr>
          <w:rFonts w:ascii="Times New Roman" w:eastAsia="Arial" w:hAnsi="Times New Roman" w:cs="Times New Roman"/>
          <w:color w:val="000000"/>
          <w:spacing w:val="-2"/>
          <w:sz w:val="24"/>
          <w:szCs w:val="24"/>
          <w:lang w:eastAsia="ru-RU"/>
        </w:rPr>
        <w:t>н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да</w:t>
      </w:r>
      <w:r w:rsidRPr="00B20459">
        <w:rPr>
          <w:rFonts w:ascii="Times New Roman" w:eastAsia="Arial" w:hAnsi="Times New Roman" w:cs="Times New Roman"/>
          <w:color w:val="000000"/>
          <w:spacing w:val="29"/>
          <w:sz w:val="24"/>
          <w:szCs w:val="24"/>
          <w:lang w:eastAsia="ru-RU"/>
        </w:rPr>
        <w:t xml:space="preserve"> 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п</w:t>
      </w:r>
      <w:r w:rsidRPr="00B20459">
        <w:rPr>
          <w:rFonts w:ascii="Times New Roman" w:eastAsia="Arial" w:hAnsi="Times New Roman" w:cs="Times New Roman"/>
          <w:color w:val="000000"/>
          <w:spacing w:val="-1"/>
          <w:sz w:val="24"/>
          <w:szCs w:val="24"/>
          <w:lang w:eastAsia="ru-RU"/>
        </w:rPr>
        <w:t>л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а</w:t>
      </w:r>
      <w:r w:rsidRPr="00B20459">
        <w:rPr>
          <w:rFonts w:ascii="Times New Roman" w:eastAsia="Arial" w:hAnsi="Times New Roman" w:cs="Times New Roman"/>
          <w:color w:val="000000"/>
          <w:spacing w:val="2"/>
          <w:sz w:val="24"/>
          <w:szCs w:val="24"/>
          <w:lang w:eastAsia="ru-RU"/>
        </w:rPr>
        <w:t>н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и</w:t>
      </w:r>
      <w:r w:rsidRPr="00B20459">
        <w:rPr>
          <w:rFonts w:ascii="Times New Roman" w:eastAsia="Arial" w:hAnsi="Times New Roman" w:cs="Times New Roman"/>
          <w:color w:val="000000"/>
          <w:spacing w:val="1"/>
          <w:sz w:val="24"/>
          <w:szCs w:val="24"/>
          <w:lang w:eastAsia="ru-RU"/>
        </w:rPr>
        <w:t>р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уется</w:t>
      </w:r>
      <w:r w:rsidRPr="00B20459">
        <w:rPr>
          <w:rFonts w:ascii="Times New Roman" w:eastAsia="Arial" w:hAnsi="Times New Roman" w:cs="Times New Roman"/>
          <w:color w:val="000000"/>
          <w:spacing w:val="30"/>
          <w:sz w:val="24"/>
          <w:szCs w:val="24"/>
          <w:lang w:eastAsia="ru-RU"/>
        </w:rPr>
        <w:t xml:space="preserve"> 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от</w:t>
      </w:r>
      <w:r w:rsidRPr="00B20459">
        <w:rPr>
          <w:rFonts w:ascii="Times New Roman" w:eastAsia="Arial" w:hAnsi="Times New Roman" w:cs="Times New Roman"/>
          <w:color w:val="000000"/>
          <w:spacing w:val="1"/>
          <w:sz w:val="24"/>
          <w:szCs w:val="24"/>
          <w:lang w:eastAsia="ru-RU"/>
        </w:rPr>
        <w:t>а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пл</w:t>
      </w:r>
      <w:r w:rsidRPr="00B20459">
        <w:rPr>
          <w:rFonts w:ascii="Times New Roman" w:eastAsia="Arial" w:hAnsi="Times New Roman" w:cs="Times New Roman"/>
          <w:color w:val="000000"/>
          <w:spacing w:val="-4"/>
          <w:sz w:val="24"/>
          <w:szCs w:val="24"/>
          <w:lang w:eastAsia="ru-RU"/>
        </w:rPr>
        <w:t>и</w:t>
      </w:r>
      <w:r w:rsidRPr="00B20459">
        <w:rPr>
          <w:rFonts w:ascii="Times New Roman" w:eastAsia="Arial" w:hAnsi="Times New Roman" w:cs="Times New Roman"/>
          <w:color w:val="000000"/>
          <w:spacing w:val="1"/>
          <w:sz w:val="24"/>
          <w:szCs w:val="24"/>
          <w:lang w:eastAsia="ru-RU"/>
        </w:rPr>
        <w:t>в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ать</w:t>
      </w:r>
      <w:r w:rsidRPr="00B20459">
        <w:rPr>
          <w:rFonts w:ascii="Times New Roman" w:eastAsia="Arial" w:hAnsi="Times New Roman" w:cs="Times New Roman"/>
          <w:color w:val="000000"/>
          <w:spacing w:val="30"/>
          <w:sz w:val="24"/>
          <w:szCs w:val="24"/>
          <w:lang w:eastAsia="ru-RU"/>
        </w:rPr>
        <w:t xml:space="preserve"> 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от</w:t>
      </w:r>
      <w:r w:rsidRPr="00B20459">
        <w:rPr>
          <w:rFonts w:ascii="Times New Roman" w:eastAsia="Arial" w:hAnsi="Times New Roman" w:cs="Times New Roman"/>
          <w:color w:val="000000"/>
          <w:spacing w:val="30"/>
          <w:sz w:val="24"/>
          <w:szCs w:val="24"/>
          <w:lang w:eastAsia="ru-RU"/>
        </w:rPr>
        <w:t xml:space="preserve"> </w:t>
      </w:r>
      <w:r w:rsidRPr="00B20459">
        <w:rPr>
          <w:rFonts w:ascii="Times New Roman" w:eastAsia="Arial" w:hAnsi="Times New Roman" w:cs="Times New Roman"/>
          <w:color w:val="000000"/>
          <w:spacing w:val="-1"/>
          <w:sz w:val="24"/>
          <w:szCs w:val="24"/>
          <w:lang w:eastAsia="ru-RU"/>
        </w:rPr>
        <w:t>м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ест</w:t>
      </w:r>
      <w:r w:rsidRPr="00B20459">
        <w:rPr>
          <w:rFonts w:ascii="Times New Roman" w:eastAsia="Arial" w:hAnsi="Times New Roman" w:cs="Times New Roman"/>
          <w:color w:val="000000"/>
          <w:spacing w:val="2"/>
          <w:sz w:val="24"/>
          <w:szCs w:val="24"/>
          <w:lang w:eastAsia="ru-RU"/>
        </w:rPr>
        <w:t>н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ых и</w:t>
      </w:r>
      <w:r w:rsidRPr="00B20459">
        <w:rPr>
          <w:rFonts w:ascii="Times New Roman" w:eastAsia="Arial" w:hAnsi="Times New Roman" w:cs="Times New Roman"/>
          <w:color w:val="000000"/>
          <w:spacing w:val="1"/>
          <w:sz w:val="24"/>
          <w:szCs w:val="24"/>
          <w:lang w:eastAsia="ru-RU"/>
        </w:rPr>
        <w:t>н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ди</w:t>
      </w:r>
      <w:r w:rsidRPr="00B20459">
        <w:rPr>
          <w:rFonts w:ascii="Times New Roman" w:eastAsia="Arial" w:hAnsi="Times New Roman" w:cs="Times New Roman"/>
          <w:color w:val="000000"/>
          <w:spacing w:val="2"/>
          <w:sz w:val="24"/>
          <w:szCs w:val="24"/>
          <w:lang w:eastAsia="ru-RU"/>
        </w:rPr>
        <w:t>в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идуаль</w:t>
      </w:r>
      <w:r w:rsidRPr="00B20459">
        <w:rPr>
          <w:rFonts w:ascii="Times New Roman" w:eastAsia="Arial" w:hAnsi="Times New Roman" w:cs="Times New Roman"/>
          <w:color w:val="000000"/>
          <w:spacing w:val="1"/>
          <w:sz w:val="24"/>
          <w:szCs w:val="24"/>
          <w:lang w:eastAsia="ru-RU"/>
        </w:rPr>
        <w:t>н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ых ист</w:t>
      </w:r>
      <w:r w:rsidRPr="00B20459">
        <w:rPr>
          <w:rFonts w:ascii="Times New Roman" w:eastAsia="Arial" w:hAnsi="Times New Roman" w:cs="Times New Roman"/>
          <w:color w:val="000000"/>
          <w:spacing w:val="1"/>
          <w:sz w:val="24"/>
          <w:szCs w:val="24"/>
          <w:lang w:eastAsia="ru-RU"/>
        </w:rPr>
        <w:t>о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ч</w:t>
      </w:r>
      <w:r w:rsidRPr="00B20459">
        <w:rPr>
          <w:rFonts w:ascii="Times New Roman" w:eastAsia="Arial" w:hAnsi="Times New Roman" w:cs="Times New Roman"/>
          <w:color w:val="000000"/>
          <w:spacing w:val="1"/>
          <w:sz w:val="24"/>
          <w:szCs w:val="24"/>
          <w:lang w:eastAsia="ru-RU"/>
        </w:rPr>
        <w:t>н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и</w:t>
      </w:r>
      <w:r w:rsidRPr="00B20459">
        <w:rPr>
          <w:rFonts w:ascii="Times New Roman" w:eastAsia="Arial" w:hAnsi="Times New Roman" w:cs="Times New Roman"/>
          <w:color w:val="000000"/>
          <w:spacing w:val="1"/>
          <w:sz w:val="24"/>
          <w:szCs w:val="24"/>
          <w:lang w:eastAsia="ru-RU"/>
        </w:rPr>
        <w:t>к</w:t>
      </w:r>
      <w:r w:rsidRPr="00B20459">
        <w:rPr>
          <w:rFonts w:ascii="Times New Roman" w:eastAsia="Arial" w:hAnsi="Times New Roman" w:cs="Times New Roman"/>
          <w:color w:val="000000"/>
          <w:spacing w:val="-3"/>
          <w:sz w:val="24"/>
          <w:szCs w:val="24"/>
          <w:lang w:eastAsia="ru-RU"/>
        </w:rPr>
        <w:t>о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в</w:t>
      </w:r>
      <w:r w:rsidRPr="00B20459">
        <w:rPr>
          <w:rFonts w:ascii="Times New Roman" w:eastAsia="Arial" w:hAnsi="Times New Roman" w:cs="Times New Roman"/>
          <w:color w:val="000000"/>
          <w:spacing w:val="125"/>
          <w:sz w:val="24"/>
          <w:szCs w:val="24"/>
          <w:lang w:eastAsia="ru-RU"/>
        </w:rPr>
        <w:t xml:space="preserve"> 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–</w:t>
      </w:r>
      <w:r w:rsidRPr="00B20459">
        <w:rPr>
          <w:rFonts w:ascii="Times New Roman" w:eastAsia="Arial" w:hAnsi="Times New Roman" w:cs="Times New Roman"/>
          <w:color w:val="000000"/>
          <w:spacing w:val="118"/>
          <w:sz w:val="24"/>
          <w:szCs w:val="24"/>
          <w:lang w:eastAsia="ru-RU"/>
        </w:rPr>
        <w:t xml:space="preserve"> 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а</w:t>
      </w:r>
      <w:r w:rsidRPr="00B20459">
        <w:rPr>
          <w:rFonts w:ascii="Times New Roman" w:eastAsia="Arial" w:hAnsi="Times New Roman" w:cs="Times New Roman"/>
          <w:color w:val="000000"/>
          <w:spacing w:val="2"/>
          <w:sz w:val="24"/>
          <w:szCs w:val="24"/>
          <w:lang w:eastAsia="ru-RU"/>
        </w:rPr>
        <w:t>в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т</w:t>
      </w:r>
      <w:r w:rsidRPr="00B20459">
        <w:rPr>
          <w:rFonts w:ascii="Times New Roman" w:eastAsia="Arial" w:hAnsi="Times New Roman" w:cs="Times New Roman"/>
          <w:color w:val="000000"/>
          <w:spacing w:val="-2"/>
          <w:sz w:val="24"/>
          <w:szCs w:val="24"/>
          <w:lang w:eastAsia="ru-RU"/>
        </w:rPr>
        <w:t>о</w:t>
      </w:r>
      <w:r w:rsidRPr="00B20459">
        <w:rPr>
          <w:rFonts w:ascii="Times New Roman" w:eastAsia="Arial" w:hAnsi="Times New Roman" w:cs="Times New Roman"/>
          <w:color w:val="000000"/>
          <w:spacing w:val="1"/>
          <w:sz w:val="24"/>
          <w:szCs w:val="24"/>
          <w:lang w:eastAsia="ru-RU"/>
        </w:rPr>
        <w:t>н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о</w:t>
      </w:r>
      <w:r w:rsidRPr="00B20459">
        <w:rPr>
          <w:rFonts w:ascii="Times New Roman" w:eastAsia="Arial" w:hAnsi="Times New Roman" w:cs="Times New Roman"/>
          <w:color w:val="000000"/>
          <w:spacing w:val="-1"/>
          <w:sz w:val="24"/>
          <w:szCs w:val="24"/>
          <w:lang w:eastAsia="ru-RU"/>
        </w:rPr>
        <w:t>м</w:t>
      </w:r>
      <w:r w:rsidRPr="00B20459">
        <w:rPr>
          <w:rFonts w:ascii="Times New Roman" w:eastAsia="Arial" w:hAnsi="Times New Roman" w:cs="Times New Roman"/>
          <w:color w:val="000000"/>
          <w:spacing w:val="-3"/>
          <w:sz w:val="24"/>
          <w:szCs w:val="24"/>
          <w:lang w:eastAsia="ru-RU"/>
        </w:rPr>
        <w:t>н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ых газ</w:t>
      </w:r>
      <w:r w:rsidRPr="00B20459">
        <w:rPr>
          <w:rFonts w:ascii="Times New Roman" w:eastAsia="Arial" w:hAnsi="Times New Roman" w:cs="Times New Roman"/>
          <w:color w:val="000000"/>
          <w:spacing w:val="1"/>
          <w:sz w:val="24"/>
          <w:szCs w:val="24"/>
          <w:lang w:eastAsia="ru-RU"/>
        </w:rPr>
        <w:t>о</w:t>
      </w:r>
      <w:r w:rsidRPr="00B20459">
        <w:rPr>
          <w:rFonts w:ascii="Times New Roman" w:eastAsia="Arial" w:hAnsi="Times New Roman" w:cs="Times New Roman"/>
          <w:color w:val="000000"/>
          <w:spacing w:val="2"/>
          <w:sz w:val="24"/>
          <w:szCs w:val="24"/>
          <w:lang w:eastAsia="ru-RU"/>
        </w:rPr>
        <w:t>в</w:t>
      </w:r>
      <w:r w:rsidRPr="00B20459">
        <w:rPr>
          <w:rFonts w:ascii="Times New Roman" w:eastAsia="Arial" w:hAnsi="Times New Roman" w:cs="Times New Roman"/>
          <w:color w:val="000000"/>
          <w:spacing w:val="1"/>
          <w:sz w:val="24"/>
          <w:szCs w:val="24"/>
          <w:lang w:eastAsia="ru-RU"/>
        </w:rPr>
        <w:t>о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до</w:t>
      </w:r>
      <w:r w:rsidRPr="00B20459">
        <w:rPr>
          <w:rFonts w:ascii="Times New Roman" w:eastAsia="Arial" w:hAnsi="Times New Roman" w:cs="Times New Roman"/>
          <w:color w:val="000000"/>
          <w:spacing w:val="1"/>
          <w:sz w:val="24"/>
          <w:szCs w:val="24"/>
          <w:lang w:eastAsia="ru-RU"/>
        </w:rPr>
        <w:t>на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гре</w:t>
      </w:r>
      <w:r w:rsidRPr="00B20459">
        <w:rPr>
          <w:rFonts w:ascii="Times New Roman" w:eastAsia="Arial" w:hAnsi="Times New Roman" w:cs="Times New Roman"/>
          <w:color w:val="000000"/>
          <w:spacing w:val="2"/>
          <w:sz w:val="24"/>
          <w:szCs w:val="24"/>
          <w:lang w:eastAsia="ru-RU"/>
        </w:rPr>
        <w:t>в</w:t>
      </w:r>
      <w:r w:rsidRPr="00B20459">
        <w:rPr>
          <w:rFonts w:ascii="Times New Roman" w:eastAsia="Arial" w:hAnsi="Times New Roman" w:cs="Times New Roman"/>
          <w:color w:val="000000"/>
          <w:spacing w:val="-3"/>
          <w:sz w:val="24"/>
          <w:szCs w:val="24"/>
          <w:lang w:eastAsia="ru-RU"/>
        </w:rPr>
        <w:t>а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 xml:space="preserve">телей с </w:t>
      </w:r>
      <w:r w:rsidRPr="00B20459">
        <w:rPr>
          <w:rFonts w:ascii="Times New Roman" w:eastAsia="Arial" w:hAnsi="Times New Roman" w:cs="Times New Roman"/>
          <w:color w:val="000000"/>
          <w:spacing w:val="-1"/>
          <w:sz w:val="24"/>
          <w:szCs w:val="24"/>
          <w:lang w:eastAsia="ru-RU"/>
        </w:rPr>
        <w:t>в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одяным к</w:t>
      </w:r>
      <w:r w:rsidRPr="00B20459">
        <w:rPr>
          <w:rFonts w:ascii="Times New Roman" w:eastAsia="Arial" w:hAnsi="Times New Roman" w:cs="Times New Roman"/>
          <w:color w:val="000000"/>
          <w:spacing w:val="1"/>
          <w:sz w:val="24"/>
          <w:szCs w:val="24"/>
          <w:lang w:eastAsia="ru-RU"/>
        </w:rPr>
        <w:t>он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ту</w:t>
      </w:r>
      <w:r w:rsidRPr="00B20459">
        <w:rPr>
          <w:rFonts w:ascii="Times New Roman" w:eastAsia="Arial" w:hAnsi="Times New Roman" w:cs="Times New Roman"/>
          <w:color w:val="000000"/>
          <w:spacing w:val="2"/>
          <w:sz w:val="24"/>
          <w:szCs w:val="24"/>
          <w:lang w:eastAsia="ru-RU"/>
        </w:rPr>
        <w:t>р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ом</w:t>
      </w:r>
      <w:r w:rsidRPr="00B20459">
        <w:rPr>
          <w:rFonts w:ascii="Times New Roman" w:eastAsia="Arial" w:hAnsi="Times New Roman" w:cs="Times New Roman"/>
          <w:color w:val="000000"/>
          <w:spacing w:val="18"/>
          <w:sz w:val="24"/>
          <w:szCs w:val="24"/>
          <w:lang w:eastAsia="ru-RU"/>
        </w:rPr>
        <w:t xml:space="preserve"> 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д</w:t>
      </w:r>
      <w:r w:rsidRPr="00B20459">
        <w:rPr>
          <w:rFonts w:ascii="Times New Roman" w:eastAsia="Arial" w:hAnsi="Times New Roman" w:cs="Times New Roman"/>
          <w:color w:val="000000"/>
          <w:spacing w:val="-1"/>
          <w:sz w:val="24"/>
          <w:szCs w:val="24"/>
          <w:lang w:eastAsia="ru-RU"/>
        </w:rPr>
        <w:t>л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я</w:t>
      </w:r>
      <w:r w:rsidRPr="00B20459">
        <w:rPr>
          <w:rFonts w:ascii="Times New Roman" w:eastAsia="Arial" w:hAnsi="Times New Roman" w:cs="Times New Roman"/>
          <w:color w:val="000000"/>
          <w:spacing w:val="18"/>
          <w:sz w:val="24"/>
          <w:szCs w:val="24"/>
          <w:lang w:eastAsia="ru-RU"/>
        </w:rPr>
        <w:t xml:space="preserve"> 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си</w:t>
      </w:r>
      <w:r w:rsidRPr="00B20459">
        <w:rPr>
          <w:rFonts w:ascii="Times New Roman" w:eastAsia="Arial" w:hAnsi="Times New Roman" w:cs="Times New Roman"/>
          <w:color w:val="000000"/>
          <w:spacing w:val="-3"/>
          <w:sz w:val="24"/>
          <w:szCs w:val="24"/>
          <w:lang w:eastAsia="ru-RU"/>
        </w:rPr>
        <w:t>с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 xml:space="preserve">тем </w:t>
      </w:r>
      <w:r w:rsidRPr="00B20459">
        <w:rPr>
          <w:rFonts w:ascii="Times New Roman" w:eastAsia="Arial" w:hAnsi="Times New Roman" w:cs="Times New Roman"/>
          <w:color w:val="000000"/>
          <w:spacing w:val="-2"/>
          <w:sz w:val="24"/>
          <w:szCs w:val="24"/>
          <w:lang w:eastAsia="ru-RU"/>
        </w:rPr>
        <w:t>в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одян</w:t>
      </w:r>
      <w:r w:rsidRPr="00B20459">
        <w:rPr>
          <w:rFonts w:ascii="Times New Roman" w:eastAsia="Arial" w:hAnsi="Times New Roman" w:cs="Times New Roman"/>
          <w:color w:val="000000"/>
          <w:spacing w:val="1"/>
          <w:sz w:val="24"/>
          <w:szCs w:val="24"/>
          <w:lang w:eastAsia="ru-RU"/>
        </w:rPr>
        <w:t>о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го</w:t>
      </w:r>
      <w:r w:rsidRPr="00B20459">
        <w:rPr>
          <w:rFonts w:ascii="Times New Roman" w:eastAsia="Arial" w:hAnsi="Times New Roman" w:cs="Times New Roman"/>
          <w:color w:val="000000"/>
          <w:spacing w:val="19"/>
          <w:sz w:val="24"/>
          <w:szCs w:val="24"/>
          <w:lang w:eastAsia="ru-RU"/>
        </w:rPr>
        <w:t xml:space="preserve"> </w:t>
      </w:r>
      <w:r w:rsidRPr="00B20459">
        <w:rPr>
          <w:rFonts w:ascii="Times New Roman" w:eastAsia="Arial" w:hAnsi="Times New Roman" w:cs="Times New Roman"/>
          <w:color w:val="000000"/>
          <w:spacing w:val="-3"/>
          <w:sz w:val="24"/>
          <w:szCs w:val="24"/>
          <w:lang w:eastAsia="ru-RU"/>
        </w:rPr>
        <w:t>о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топле</w:t>
      </w:r>
      <w:r w:rsidRPr="00B20459">
        <w:rPr>
          <w:rFonts w:ascii="Times New Roman" w:eastAsia="Arial" w:hAnsi="Times New Roman" w:cs="Times New Roman"/>
          <w:color w:val="000000"/>
          <w:spacing w:val="1"/>
          <w:sz w:val="24"/>
          <w:szCs w:val="24"/>
          <w:lang w:eastAsia="ru-RU"/>
        </w:rPr>
        <w:t>н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ия</w:t>
      </w:r>
      <w:r w:rsidRPr="00B20459">
        <w:rPr>
          <w:rFonts w:ascii="Times New Roman" w:eastAsia="Arial" w:hAnsi="Times New Roman" w:cs="Times New Roman"/>
          <w:color w:val="000000"/>
          <w:spacing w:val="10"/>
          <w:sz w:val="24"/>
          <w:szCs w:val="24"/>
          <w:lang w:eastAsia="ru-RU"/>
        </w:rPr>
        <w:t xml:space="preserve"> 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с</w:t>
      </w:r>
      <w:r w:rsidRPr="00B20459">
        <w:rPr>
          <w:rFonts w:ascii="Times New Roman" w:eastAsia="Arial" w:hAnsi="Times New Roman" w:cs="Times New Roman"/>
          <w:color w:val="000000"/>
          <w:spacing w:val="20"/>
          <w:sz w:val="24"/>
          <w:szCs w:val="24"/>
          <w:lang w:eastAsia="ru-RU"/>
        </w:rPr>
        <w:t xml:space="preserve"> 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принудительной</w:t>
      </w:r>
      <w:r w:rsidRPr="00B20459">
        <w:rPr>
          <w:rFonts w:ascii="Times New Roman" w:eastAsia="Arial" w:hAnsi="Times New Roman" w:cs="Times New Roman"/>
          <w:color w:val="000000"/>
          <w:spacing w:val="15"/>
          <w:sz w:val="24"/>
          <w:szCs w:val="24"/>
          <w:lang w:eastAsia="ru-RU"/>
        </w:rPr>
        <w:t xml:space="preserve"> </w:t>
      </w:r>
      <w:r w:rsidRPr="00B20459">
        <w:rPr>
          <w:rFonts w:ascii="Times New Roman" w:eastAsia="Arial" w:hAnsi="Times New Roman" w:cs="Times New Roman"/>
          <w:color w:val="000000"/>
          <w:spacing w:val="2"/>
          <w:sz w:val="24"/>
          <w:szCs w:val="24"/>
          <w:lang w:eastAsia="ru-RU"/>
        </w:rPr>
        <w:t>ц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и</w:t>
      </w:r>
      <w:r w:rsidRPr="00B20459">
        <w:rPr>
          <w:rFonts w:ascii="Times New Roman" w:eastAsia="Arial" w:hAnsi="Times New Roman" w:cs="Times New Roman"/>
          <w:color w:val="000000"/>
          <w:spacing w:val="1"/>
          <w:sz w:val="24"/>
          <w:szCs w:val="24"/>
          <w:lang w:eastAsia="ru-RU"/>
        </w:rPr>
        <w:t>р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куляци</w:t>
      </w:r>
      <w:r w:rsidRPr="00B20459">
        <w:rPr>
          <w:rFonts w:ascii="Times New Roman" w:eastAsia="Arial" w:hAnsi="Times New Roman" w:cs="Times New Roman"/>
          <w:color w:val="000000"/>
          <w:spacing w:val="1"/>
          <w:sz w:val="24"/>
          <w:szCs w:val="24"/>
          <w:lang w:eastAsia="ru-RU"/>
        </w:rPr>
        <w:t>е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й</w:t>
      </w:r>
      <w:r w:rsidRPr="00B20459">
        <w:rPr>
          <w:rFonts w:ascii="Times New Roman" w:eastAsia="Arial" w:hAnsi="Times New Roman" w:cs="Times New Roman"/>
          <w:color w:val="000000"/>
          <w:spacing w:val="15"/>
          <w:sz w:val="24"/>
          <w:szCs w:val="24"/>
          <w:lang w:eastAsia="ru-RU"/>
        </w:rPr>
        <w:t xml:space="preserve"> 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и</w:t>
      </w:r>
      <w:r w:rsidRPr="00B20459">
        <w:rPr>
          <w:rFonts w:ascii="Times New Roman" w:eastAsia="Arial" w:hAnsi="Times New Roman" w:cs="Times New Roman"/>
          <w:color w:val="000000"/>
          <w:spacing w:val="15"/>
          <w:sz w:val="24"/>
          <w:szCs w:val="24"/>
          <w:lang w:eastAsia="ru-RU"/>
        </w:rPr>
        <w:t xml:space="preserve"> 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 xml:space="preserve">горячего </w:t>
      </w:r>
      <w:r w:rsidRPr="00B20459">
        <w:rPr>
          <w:rFonts w:ascii="Times New Roman" w:eastAsia="Arial" w:hAnsi="Times New Roman" w:cs="Times New Roman"/>
          <w:color w:val="000000"/>
          <w:spacing w:val="1"/>
          <w:sz w:val="24"/>
          <w:szCs w:val="24"/>
          <w:lang w:eastAsia="ru-RU"/>
        </w:rPr>
        <w:t>во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дос</w:t>
      </w:r>
      <w:r w:rsidRPr="00B20459">
        <w:rPr>
          <w:rFonts w:ascii="Times New Roman" w:eastAsia="Arial" w:hAnsi="Times New Roman" w:cs="Times New Roman"/>
          <w:color w:val="000000"/>
          <w:spacing w:val="2"/>
          <w:sz w:val="24"/>
          <w:szCs w:val="24"/>
          <w:lang w:eastAsia="ru-RU"/>
        </w:rPr>
        <w:t>н</w:t>
      </w:r>
      <w:r w:rsidRPr="00B20459">
        <w:rPr>
          <w:rFonts w:ascii="Times New Roman" w:eastAsia="Arial" w:hAnsi="Times New Roman" w:cs="Times New Roman"/>
          <w:color w:val="000000"/>
          <w:spacing w:val="-3"/>
          <w:sz w:val="24"/>
          <w:szCs w:val="24"/>
          <w:lang w:eastAsia="ru-RU"/>
        </w:rPr>
        <w:t>а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б</w:t>
      </w:r>
      <w:r w:rsidRPr="00B20459">
        <w:rPr>
          <w:rFonts w:ascii="Times New Roman" w:eastAsia="Arial" w:hAnsi="Times New Roman" w:cs="Times New Roman"/>
          <w:color w:val="000000"/>
          <w:spacing w:val="-1"/>
          <w:sz w:val="24"/>
          <w:szCs w:val="24"/>
          <w:lang w:eastAsia="ru-RU"/>
        </w:rPr>
        <w:t>ж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е</w:t>
      </w:r>
      <w:r w:rsidRPr="00B20459">
        <w:rPr>
          <w:rFonts w:ascii="Times New Roman" w:eastAsia="Arial" w:hAnsi="Times New Roman" w:cs="Times New Roman"/>
          <w:color w:val="000000"/>
          <w:spacing w:val="2"/>
          <w:sz w:val="24"/>
          <w:szCs w:val="24"/>
          <w:lang w:eastAsia="ru-RU"/>
        </w:rPr>
        <w:t>н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ия.</w:t>
      </w:r>
    </w:p>
    <w:p w:rsidR="00B20459" w:rsidRPr="00B20459" w:rsidRDefault="00B20459" w:rsidP="00B20459">
      <w:pPr>
        <w:autoSpaceDE w:val="0"/>
        <w:autoSpaceDN w:val="0"/>
        <w:adjustRightInd w:val="0"/>
        <w:spacing w:after="0" w:line="360" w:lineRule="auto"/>
        <w:ind w:right="675" w:firstLine="851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 w:rsidRPr="00B20459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Теплоснабжение п. Леплей осуществляется от котельной №5, п. Леплей находящейся </w:t>
      </w:r>
      <w:r w:rsidRPr="00B20459">
        <w:rPr>
          <w:rFonts w:ascii="Times New Roman" w:eastAsiaTheme="minorEastAsia" w:hAnsi="Times New Roman" w:cs="Times New Roman"/>
          <w:sz w:val="24"/>
          <w:szCs w:val="24"/>
          <w:lang w:eastAsia="ru-RU"/>
        </w:rPr>
        <w:t>в ведомстве МП Зубово-Полянского муниципального района «ТС».</w:t>
      </w:r>
      <w:r w:rsidRPr="00B20459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 Котельная работает на природном газе. Установленная тепловая мощность котельной – 11,176 Гкал/ч.</w:t>
      </w:r>
    </w:p>
    <w:p w:rsidR="00B20459" w:rsidRPr="00B20459" w:rsidRDefault="00B20459" w:rsidP="00B20459">
      <w:pPr>
        <w:widowControl w:val="0"/>
        <w:autoSpaceDE w:val="0"/>
        <w:autoSpaceDN w:val="0"/>
        <w:adjustRightInd w:val="0"/>
        <w:spacing w:after="0" w:line="360" w:lineRule="auto"/>
        <w:ind w:right="675" w:firstLine="851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 w:rsidRPr="00B20459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 xml:space="preserve">Подключенная тепловая нагрузка </w:t>
      </w:r>
      <w:r w:rsidRPr="00B20459">
        <w:rPr>
          <w:rFonts w:ascii="Times New Roman" w:eastAsiaTheme="minorEastAsia" w:hAnsi="Times New Roman" w:cs="Times New Roman"/>
          <w:sz w:val="24"/>
          <w:szCs w:val="24"/>
          <w:lang w:eastAsia="ru-RU"/>
        </w:rPr>
        <w:t xml:space="preserve">МП Зубово-Полянского муниципального района «ТС» </w:t>
      </w:r>
      <w:r w:rsidRPr="00B20459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составляет – 2,157 Гкал/ч.</w:t>
      </w:r>
    </w:p>
    <w:p w:rsidR="00B20459" w:rsidRPr="00B20459" w:rsidRDefault="00B20459" w:rsidP="00B20459">
      <w:pPr>
        <w:spacing w:after="0" w:line="360" w:lineRule="auto"/>
        <w:ind w:right="675" w:firstLine="851"/>
        <w:jc w:val="both"/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</w:pPr>
      <w:r w:rsidRPr="00B20459">
        <w:rPr>
          <w:rFonts w:ascii="Times New Roman" w:eastAsiaTheme="minorEastAsia" w:hAnsi="Times New Roman" w:cs="Times New Roman"/>
          <w:color w:val="000000"/>
          <w:sz w:val="24"/>
          <w:szCs w:val="24"/>
          <w:lang w:eastAsia="ru-RU"/>
        </w:rPr>
        <w:t>Общая протяженность тепловых сетей на территории поселения – 3151,98 п.м. в двухтрубном исчислении. Температурный график работы источников и теплосети – 95/70 °С.</w:t>
      </w:r>
    </w:p>
    <w:p w:rsidR="00B20459" w:rsidRPr="00B20459" w:rsidRDefault="00B20459" w:rsidP="00B20459">
      <w:pPr>
        <w:spacing w:after="0" w:line="313" w:lineRule="auto"/>
        <w:ind w:right="675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B20459">
        <w:rPr>
          <w:rFonts w:ascii="Times New Roman" w:eastAsia="Arial" w:hAnsi="Times New Roman" w:cs="Times New Roman"/>
          <w:color w:val="000000"/>
          <w:spacing w:val="-4"/>
          <w:sz w:val="24"/>
          <w:szCs w:val="24"/>
          <w:lang w:eastAsia="ru-RU"/>
        </w:rPr>
        <w:t>П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о</w:t>
      </w:r>
      <w:r w:rsidRPr="00B20459">
        <w:rPr>
          <w:rFonts w:ascii="Times New Roman" w:eastAsia="Arial" w:hAnsi="Times New Roman" w:cs="Times New Roman"/>
          <w:color w:val="000000"/>
          <w:spacing w:val="67"/>
          <w:sz w:val="24"/>
          <w:szCs w:val="24"/>
          <w:lang w:eastAsia="ru-RU"/>
        </w:rPr>
        <w:t xml:space="preserve"> 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к</w:t>
      </w:r>
      <w:r w:rsidRPr="00B20459">
        <w:rPr>
          <w:rFonts w:ascii="Times New Roman" w:eastAsia="Arial" w:hAnsi="Times New Roman" w:cs="Times New Roman"/>
          <w:color w:val="000000"/>
          <w:spacing w:val="2"/>
          <w:sz w:val="24"/>
          <w:szCs w:val="24"/>
          <w:lang w:eastAsia="ru-RU"/>
        </w:rPr>
        <w:t>а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т</w:t>
      </w:r>
      <w:r w:rsidRPr="00B20459">
        <w:rPr>
          <w:rFonts w:ascii="Times New Roman" w:eastAsia="Arial" w:hAnsi="Times New Roman" w:cs="Times New Roman"/>
          <w:color w:val="000000"/>
          <w:spacing w:val="1"/>
          <w:sz w:val="24"/>
          <w:szCs w:val="24"/>
          <w:lang w:eastAsia="ru-RU"/>
        </w:rPr>
        <w:t>е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г</w:t>
      </w:r>
      <w:r w:rsidRPr="00B20459">
        <w:rPr>
          <w:rFonts w:ascii="Times New Roman" w:eastAsia="Arial" w:hAnsi="Times New Roman" w:cs="Times New Roman"/>
          <w:color w:val="000000"/>
          <w:spacing w:val="-4"/>
          <w:sz w:val="24"/>
          <w:szCs w:val="24"/>
          <w:lang w:eastAsia="ru-RU"/>
        </w:rPr>
        <w:t>о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риям пот</w:t>
      </w:r>
      <w:r w:rsidRPr="00B20459">
        <w:rPr>
          <w:rFonts w:ascii="Times New Roman" w:eastAsia="Arial" w:hAnsi="Times New Roman" w:cs="Times New Roman"/>
          <w:color w:val="000000"/>
          <w:spacing w:val="1"/>
          <w:sz w:val="24"/>
          <w:szCs w:val="24"/>
          <w:lang w:eastAsia="ru-RU"/>
        </w:rPr>
        <w:t>реб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ле</w:t>
      </w:r>
      <w:r w:rsidRPr="00B20459">
        <w:rPr>
          <w:rFonts w:ascii="Times New Roman" w:eastAsia="Arial" w:hAnsi="Times New Roman" w:cs="Times New Roman"/>
          <w:color w:val="000000"/>
          <w:spacing w:val="2"/>
          <w:sz w:val="24"/>
          <w:szCs w:val="24"/>
          <w:lang w:eastAsia="ru-RU"/>
        </w:rPr>
        <w:t>н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ия</w:t>
      </w:r>
      <w:r w:rsidRPr="00B20459">
        <w:rPr>
          <w:rFonts w:ascii="Times New Roman" w:eastAsia="Arial" w:hAnsi="Times New Roman" w:cs="Times New Roman"/>
          <w:color w:val="000000"/>
          <w:spacing w:val="-4"/>
          <w:sz w:val="24"/>
          <w:szCs w:val="24"/>
          <w:lang w:eastAsia="ru-RU"/>
        </w:rPr>
        <w:t xml:space="preserve"> </w:t>
      </w:r>
      <w:r w:rsidRPr="00B20459">
        <w:rPr>
          <w:rFonts w:ascii="Times New Roman" w:eastAsia="Arial" w:hAnsi="Times New Roman" w:cs="Times New Roman"/>
          <w:color w:val="000000"/>
          <w:spacing w:val="2"/>
          <w:sz w:val="24"/>
          <w:szCs w:val="24"/>
          <w:lang w:eastAsia="ru-RU"/>
        </w:rPr>
        <w:t>нагрузка делится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 xml:space="preserve"> следу</w:t>
      </w:r>
      <w:r w:rsidRPr="00B20459">
        <w:rPr>
          <w:rFonts w:ascii="Times New Roman" w:eastAsia="Arial" w:hAnsi="Times New Roman" w:cs="Times New Roman"/>
          <w:color w:val="000000"/>
          <w:spacing w:val="2"/>
          <w:sz w:val="24"/>
          <w:szCs w:val="24"/>
          <w:lang w:eastAsia="ru-RU"/>
        </w:rPr>
        <w:t>ю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щим</w:t>
      </w:r>
      <w:r w:rsidRPr="00B20459">
        <w:rPr>
          <w:rFonts w:ascii="Times New Roman" w:eastAsia="Arial" w:hAnsi="Times New Roman" w:cs="Times New Roman"/>
          <w:color w:val="000000"/>
          <w:spacing w:val="-2"/>
          <w:sz w:val="24"/>
          <w:szCs w:val="24"/>
          <w:lang w:eastAsia="ru-RU"/>
        </w:rPr>
        <w:t xml:space="preserve"> </w:t>
      </w:r>
      <w:r w:rsidRPr="00B20459">
        <w:rPr>
          <w:rFonts w:ascii="Times New Roman" w:eastAsia="Arial" w:hAnsi="Times New Roman" w:cs="Times New Roman"/>
          <w:color w:val="000000"/>
          <w:spacing w:val="1"/>
          <w:sz w:val="24"/>
          <w:szCs w:val="24"/>
          <w:lang w:eastAsia="ru-RU"/>
        </w:rPr>
        <w:t>об</w:t>
      </w:r>
      <w:r w:rsidRPr="00B20459">
        <w:rPr>
          <w:rFonts w:ascii="Times New Roman" w:eastAsia="Arial" w:hAnsi="Times New Roman" w:cs="Times New Roman"/>
          <w:color w:val="000000"/>
          <w:spacing w:val="-3"/>
          <w:sz w:val="24"/>
          <w:szCs w:val="24"/>
          <w:lang w:eastAsia="ru-RU"/>
        </w:rPr>
        <w:t>р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аз</w:t>
      </w:r>
      <w:r w:rsidRPr="00B20459">
        <w:rPr>
          <w:rFonts w:ascii="Times New Roman" w:eastAsia="Arial" w:hAnsi="Times New Roman" w:cs="Times New Roman"/>
          <w:color w:val="000000"/>
          <w:spacing w:val="1"/>
          <w:sz w:val="24"/>
          <w:szCs w:val="24"/>
          <w:lang w:eastAsia="ru-RU"/>
        </w:rPr>
        <w:t>о</w:t>
      </w:r>
      <w:r w:rsidRPr="00B20459">
        <w:rPr>
          <w:rFonts w:ascii="Times New Roman" w:eastAsia="Arial" w:hAnsi="Times New Roman" w:cs="Times New Roman"/>
          <w:color w:val="000000"/>
          <w:spacing w:val="-1"/>
          <w:sz w:val="24"/>
          <w:szCs w:val="24"/>
          <w:lang w:eastAsia="ru-RU"/>
        </w:rPr>
        <w:t>м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>:</w:t>
      </w:r>
    </w:p>
    <w:p w:rsidR="00B20459" w:rsidRPr="00B20459" w:rsidRDefault="00B20459" w:rsidP="00B20459">
      <w:pPr>
        <w:spacing w:after="0" w:line="313" w:lineRule="auto"/>
        <w:ind w:right="551" w:firstLine="851"/>
        <w:jc w:val="both"/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</w:pPr>
      <w:r w:rsidRPr="00B20459">
        <w:rPr>
          <w:rFonts w:ascii="Times New Roman" w:eastAsia="Arial" w:hAnsi="Times New Roman" w:cs="Times New Roman"/>
          <w:b/>
          <w:color w:val="000000"/>
          <w:sz w:val="24"/>
          <w:szCs w:val="24"/>
          <w:lang w:eastAsia="ru-RU"/>
        </w:rPr>
        <w:t>Таблица - 1.1.</w:t>
      </w:r>
      <w:r w:rsidRPr="00B20459">
        <w:rPr>
          <w:rFonts w:ascii="Times New Roman" w:eastAsia="Arial" w:hAnsi="Times New Roman" w:cs="Times New Roman"/>
          <w:color w:val="000000"/>
          <w:sz w:val="24"/>
          <w:szCs w:val="24"/>
          <w:lang w:eastAsia="ru-RU"/>
        </w:rPr>
        <w:t xml:space="preserve"> Тепловая нагрузка на котельную по типу объектов.</w:t>
      </w:r>
    </w:p>
    <w:p w:rsidR="00B20459" w:rsidRPr="00B20459" w:rsidRDefault="00B20459" w:rsidP="00B20459">
      <w:pPr>
        <w:spacing w:after="0" w:line="111" w:lineRule="exact"/>
        <w:ind w:firstLine="851"/>
        <w:rPr>
          <w:rFonts w:ascii="Times New Roman" w:eastAsia="Arial" w:hAnsi="Times New Roman" w:cs="Times New Roman"/>
          <w:sz w:val="24"/>
          <w:szCs w:val="24"/>
          <w:lang w:eastAsia="ru-RU"/>
        </w:rPr>
      </w:pPr>
    </w:p>
    <w:tbl>
      <w:tblPr>
        <w:tblW w:w="9356" w:type="dxa"/>
        <w:tblInd w:w="-9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330"/>
        <w:gridCol w:w="3246"/>
        <w:gridCol w:w="1780"/>
      </w:tblGrid>
      <w:tr w:rsidR="00B20459" w:rsidRPr="00B20459" w:rsidTr="00B20459">
        <w:trPr>
          <w:cantSplit/>
          <w:trHeight w:hRule="exact" w:val="580"/>
        </w:trPr>
        <w:tc>
          <w:tcPr>
            <w:tcW w:w="433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20459" w:rsidRPr="00B20459" w:rsidRDefault="00B20459" w:rsidP="00B204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bookmarkStart w:id="1" w:name="_GoBack"/>
            <w:r w:rsidRPr="00B204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Категория потребителей</w:t>
            </w:r>
          </w:p>
        </w:tc>
        <w:tc>
          <w:tcPr>
            <w:tcW w:w="3246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20459" w:rsidRPr="00B20459" w:rsidRDefault="00B20459" w:rsidP="00B204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Расчетная тепловая нагрузка источников, Гкал/ч</w:t>
            </w:r>
          </w:p>
        </w:tc>
        <w:tc>
          <w:tcPr>
            <w:tcW w:w="1780" w:type="dxa"/>
            <w:tcBorders>
              <w:top w:val="single" w:sz="7" w:space="0" w:color="000000"/>
              <w:left w:val="single" w:sz="7" w:space="0" w:color="000000"/>
              <w:bottom w:val="single" w:sz="7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="00B20459" w:rsidRPr="00B20459" w:rsidRDefault="00B20459" w:rsidP="00B20459">
            <w:pPr>
              <w:widowControl w:val="0"/>
              <w:autoSpaceDE w:val="0"/>
              <w:autoSpaceDN w:val="0"/>
              <w:adjustRightInd w:val="0"/>
              <w:spacing w:after="0" w:line="237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Процентное соотношение</w:t>
            </w:r>
          </w:p>
        </w:tc>
      </w:tr>
      <w:tr w:rsidR="00B20459" w:rsidRPr="00B20459" w:rsidTr="00B20459">
        <w:trPr>
          <w:cantSplit/>
          <w:trHeight w:hRule="exact" w:val="463"/>
        </w:trPr>
        <w:tc>
          <w:tcPr>
            <w:tcW w:w="4330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0459" w:rsidRPr="00B20459" w:rsidRDefault="00B20459" w:rsidP="00B204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бюджетные потребители</w:t>
            </w:r>
          </w:p>
        </w:tc>
        <w:tc>
          <w:tcPr>
            <w:tcW w:w="3246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0459" w:rsidRPr="00B20459" w:rsidRDefault="00B20459" w:rsidP="00B204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1,387</w:t>
            </w:r>
          </w:p>
        </w:tc>
        <w:tc>
          <w:tcPr>
            <w:tcW w:w="1780" w:type="dxa"/>
            <w:tcBorders>
              <w:top w:val="single" w:sz="7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0459" w:rsidRPr="00B20459" w:rsidRDefault="00B20459" w:rsidP="00B204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64,3%</w:t>
            </w:r>
          </w:p>
        </w:tc>
      </w:tr>
      <w:tr w:rsidR="00B20459" w:rsidRPr="00B20459" w:rsidTr="00B20459">
        <w:trPr>
          <w:cantSplit/>
          <w:trHeight w:hRule="exact" w:val="443"/>
        </w:trPr>
        <w:tc>
          <w:tcPr>
            <w:tcW w:w="4330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0459" w:rsidRPr="00B20459" w:rsidRDefault="00B20459" w:rsidP="00B204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население</w:t>
            </w:r>
          </w:p>
        </w:tc>
        <w:tc>
          <w:tcPr>
            <w:tcW w:w="3246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0459" w:rsidRPr="00B20459" w:rsidRDefault="00B20459" w:rsidP="00B204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0,758</w:t>
            </w:r>
          </w:p>
        </w:tc>
        <w:tc>
          <w:tcPr>
            <w:tcW w:w="1780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0459" w:rsidRPr="00B20459" w:rsidRDefault="00B20459" w:rsidP="00B204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35,1%</w:t>
            </w:r>
          </w:p>
        </w:tc>
      </w:tr>
      <w:tr w:rsidR="00B20459" w:rsidRPr="00B20459" w:rsidTr="00B20459">
        <w:trPr>
          <w:cantSplit/>
          <w:trHeight w:hRule="exact" w:val="443"/>
        </w:trPr>
        <w:tc>
          <w:tcPr>
            <w:tcW w:w="4330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0459" w:rsidRPr="00B20459" w:rsidRDefault="00B20459" w:rsidP="00B204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прочие</w:t>
            </w:r>
          </w:p>
        </w:tc>
        <w:tc>
          <w:tcPr>
            <w:tcW w:w="3246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0459" w:rsidRPr="00B20459" w:rsidRDefault="00B20459" w:rsidP="00B204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0,012</w:t>
            </w:r>
          </w:p>
        </w:tc>
        <w:tc>
          <w:tcPr>
            <w:tcW w:w="1780" w:type="dxa"/>
            <w:tcBorders>
              <w:top w:val="single" w:sz="3" w:space="0" w:color="000000"/>
              <w:left w:val="single" w:sz="7" w:space="0" w:color="000000"/>
              <w:bottom w:val="single" w:sz="3" w:space="0" w:color="000000"/>
              <w:right w:val="single" w:sz="7" w:space="0" w:color="000000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B20459" w:rsidRPr="00B20459" w:rsidRDefault="00B20459" w:rsidP="00B20459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0,6%</w:t>
            </w:r>
          </w:p>
        </w:tc>
      </w:tr>
      <w:bookmarkEnd w:id="1"/>
    </w:tbl>
    <w:p w:rsidR="00B20459" w:rsidRPr="00B20459" w:rsidRDefault="00B20459" w:rsidP="00B20459">
      <w:pPr>
        <w:spacing w:after="0" w:line="240" w:lineRule="exact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0459" w:rsidRPr="00B20459" w:rsidRDefault="00B20459" w:rsidP="00B20459">
      <w:pPr>
        <w:widowControl w:val="0"/>
        <w:overflowPunct w:val="0"/>
        <w:autoSpaceDE w:val="0"/>
        <w:autoSpaceDN w:val="0"/>
        <w:adjustRightInd w:val="0"/>
        <w:spacing w:after="0" w:line="222" w:lineRule="auto"/>
        <w:ind w:firstLine="851"/>
        <w:jc w:val="center"/>
        <w:rPr>
          <w:rFonts w:ascii="Times New Roman" w:eastAsiaTheme="minorEastAsia" w:hAnsi="Times New Roman"/>
          <w:b/>
          <w:bCs/>
          <w:sz w:val="24"/>
          <w:szCs w:val="24"/>
          <w:highlight w:val="yellow"/>
          <w:lang w:eastAsia="ru-RU"/>
        </w:rPr>
      </w:pPr>
    </w:p>
    <w:p w:rsidR="00B20459" w:rsidRPr="00B20459" w:rsidRDefault="00B20459" w:rsidP="00B20459">
      <w:pPr>
        <w:widowControl w:val="0"/>
        <w:overflowPunct w:val="0"/>
        <w:autoSpaceDE w:val="0"/>
        <w:autoSpaceDN w:val="0"/>
        <w:adjustRightInd w:val="0"/>
        <w:spacing w:after="0" w:line="222" w:lineRule="auto"/>
        <w:ind w:firstLine="851"/>
        <w:jc w:val="center"/>
        <w:rPr>
          <w:rFonts w:ascii="Times New Roman" w:eastAsiaTheme="minorEastAsia" w:hAnsi="Times New Roman"/>
          <w:b/>
          <w:bCs/>
          <w:sz w:val="24"/>
          <w:szCs w:val="24"/>
          <w:highlight w:val="yellow"/>
          <w:lang w:eastAsia="ru-RU"/>
        </w:rPr>
      </w:pPr>
    </w:p>
    <w:p w:rsidR="00B20459" w:rsidRPr="00B20459" w:rsidRDefault="00B20459" w:rsidP="00B20459">
      <w:pPr>
        <w:widowControl w:val="0"/>
        <w:overflowPunct w:val="0"/>
        <w:autoSpaceDE w:val="0"/>
        <w:autoSpaceDN w:val="0"/>
        <w:adjustRightInd w:val="0"/>
        <w:spacing w:after="0" w:line="222" w:lineRule="auto"/>
        <w:ind w:firstLine="851"/>
        <w:jc w:val="center"/>
        <w:rPr>
          <w:rFonts w:ascii="Times New Roman" w:eastAsiaTheme="minorEastAsia" w:hAnsi="Times New Roman"/>
          <w:b/>
          <w:bCs/>
          <w:sz w:val="24"/>
          <w:szCs w:val="24"/>
          <w:highlight w:val="yellow"/>
          <w:lang w:eastAsia="ru-RU"/>
        </w:rPr>
      </w:pPr>
    </w:p>
    <w:p w:rsidR="00B20459" w:rsidRPr="00B20459" w:rsidRDefault="00B20459" w:rsidP="00B20459">
      <w:pPr>
        <w:widowControl w:val="0"/>
        <w:overflowPunct w:val="0"/>
        <w:autoSpaceDE w:val="0"/>
        <w:autoSpaceDN w:val="0"/>
        <w:adjustRightInd w:val="0"/>
        <w:spacing w:after="0" w:line="222" w:lineRule="auto"/>
        <w:ind w:left="-426" w:firstLine="851"/>
        <w:jc w:val="center"/>
        <w:rPr>
          <w:rFonts w:ascii="Times New Roman" w:eastAsiaTheme="minorEastAsia" w:hAnsi="Times New Roman"/>
          <w:bCs/>
          <w:sz w:val="24"/>
          <w:szCs w:val="20"/>
          <w:lang w:eastAsia="ru-RU"/>
        </w:rPr>
      </w:pPr>
      <w:r w:rsidRPr="00B20459">
        <w:rPr>
          <w:rFonts w:ascii="Times New Roman" w:eastAsiaTheme="minorEastAsia" w:hAnsi="Times New Roman"/>
          <w:bCs/>
          <w:noProof/>
          <w:sz w:val="24"/>
          <w:szCs w:val="20"/>
          <w:lang w:eastAsia="ru-RU"/>
        </w:rPr>
        <w:lastRenderedPageBreak/>
        <w:drawing>
          <wp:inline distT="0" distB="0" distL="0" distR="0" wp14:anchorId="50C9A51D" wp14:editId="62D02CBD">
            <wp:extent cx="5486400" cy="3200400"/>
            <wp:effectExtent l="0" t="0" r="0" b="0"/>
            <wp:docPr id="1" name="Диаграмма 1"/>
            <wp:cNvGraphicFramePr/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7"/>
              </a:graphicData>
            </a:graphic>
          </wp:inline>
        </w:drawing>
      </w:r>
    </w:p>
    <w:p w:rsidR="00B20459" w:rsidRPr="00B20459" w:rsidRDefault="00B20459" w:rsidP="00B20459">
      <w:pPr>
        <w:widowControl w:val="0"/>
        <w:overflowPunct w:val="0"/>
        <w:autoSpaceDE w:val="0"/>
        <w:autoSpaceDN w:val="0"/>
        <w:adjustRightInd w:val="0"/>
        <w:spacing w:after="0" w:line="222" w:lineRule="auto"/>
        <w:ind w:firstLine="851"/>
        <w:jc w:val="center"/>
        <w:rPr>
          <w:rFonts w:ascii="Times New Roman" w:eastAsiaTheme="minorEastAsia" w:hAnsi="Times New Roman"/>
          <w:bCs/>
          <w:sz w:val="24"/>
          <w:szCs w:val="24"/>
          <w:lang w:eastAsia="ru-RU"/>
        </w:rPr>
      </w:pPr>
      <w:r w:rsidRPr="00B20459">
        <w:rPr>
          <w:rFonts w:ascii="Times New Roman" w:eastAsiaTheme="minorEastAsia" w:hAnsi="Times New Roman"/>
          <w:b/>
          <w:bCs/>
          <w:sz w:val="24"/>
          <w:szCs w:val="20"/>
          <w:lang w:eastAsia="ru-RU"/>
        </w:rPr>
        <w:t>Рисунок 1.1.</w:t>
      </w:r>
      <w:r w:rsidRPr="00B20459">
        <w:rPr>
          <w:rFonts w:ascii="Times New Roman" w:eastAsiaTheme="minorEastAsia" w:hAnsi="Times New Roman"/>
          <w:bCs/>
          <w:sz w:val="24"/>
          <w:szCs w:val="20"/>
          <w:lang w:eastAsia="ru-RU"/>
        </w:rPr>
        <w:t xml:space="preserve">  Соотношение существующих тепловых нагрузок потребителей</w:t>
      </w:r>
    </w:p>
    <w:p w:rsidR="00B20459" w:rsidRPr="00B20459" w:rsidRDefault="00B20459" w:rsidP="00B20459">
      <w:pPr>
        <w:spacing w:after="0" w:line="240" w:lineRule="exact"/>
        <w:ind w:firstLine="851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B20459" w:rsidRPr="00B20459" w:rsidRDefault="00B20459" w:rsidP="00B20459">
      <w:pPr>
        <w:spacing w:after="0" w:line="240" w:lineRule="exact"/>
        <w:ind w:firstLine="851"/>
        <w:rPr>
          <w:rFonts w:ascii="Calibri" w:eastAsia="Calibri" w:hAnsi="Calibri" w:cs="Calibri"/>
          <w:w w:val="101"/>
          <w:position w:val="-2"/>
          <w:sz w:val="24"/>
          <w:szCs w:val="24"/>
          <w:lang w:eastAsia="ru-RU"/>
        </w:rPr>
      </w:pPr>
    </w:p>
    <w:p w:rsidR="00B20459" w:rsidRPr="00B20459" w:rsidRDefault="00B20459" w:rsidP="00B2045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eastAsiaTheme="minorEastAsia" w:hAnsi="Times New Roman"/>
          <w:sz w:val="24"/>
          <w:szCs w:val="24"/>
          <w:lang w:eastAsia="ru-RU"/>
        </w:rPr>
      </w:pPr>
      <w:r w:rsidRPr="00B20459">
        <w:rPr>
          <w:rFonts w:ascii="Times New Roman" w:eastAsiaTheme="minorEastAsia" w:hAnsi="Times New Roman"/>
          <w:sz w:val="24"/>
          <w:szCs w:val="24"/>
          <w:lang w:eastAsia="ru-RU"/>
        </w:rPr>
        <w:t>Как видно из рисунка 1.1, 64,3% тепловой нагрузки составляет тепловая нагрузка бюджетных потребителей.</w:t>
      </w:r>
    </w:p>
    <w:p w:rsidR="00B20459" w:rsidRPr="00B20459" w:rsidRDefault="00B20459" w:rsidP="00B20459">
      <w:pPr>
        <w:widowControl w:val="0"/>
        <w:overflowPunct w:val="0"/>
        <w:autoSpaceDE w:val="0"/>
        <w:autoSpaceDN w:val="0"/>
        <w:adjustRightInd w:val="0"/>
        <w:spacing w:after="0" w:line="360" w:lineRule="auto"/>
        <w:ind w:right="533" w:firstLine="851"/>
        <w:jc w:val="both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B20459">
        <w:rPr>
          <w:rFonts w:ascii="Times New Roman" w:eastAsiaTheme="minorEastAsia" w:hAnsi="Times New Roman"/>
          <w:b/>
          <w:sz w:val="24"/>
          <w:szCs w:val="24"/>
          <w:lang w:eastAsia="ru-RU"/>
        </w:rPr>
        <w:t xml:space="preserve">Таблица 1.1.1. </w:t>
      </w:r>
      <w:r w:rsidRPr="00B20459">
        <w:rPr>
          <w:rFonts w:ascii="Times New Roman" w:eastAsia="Times New Roman" w:hAnsi="Times New Roman" w:cs="Times New Roman"/>
          <w:iCs/>
          <w:sz w:val="24"/>
          <w:szCs w:val="24"/>
          <w:lang w:eastAsia="ru-RU"/>
        </w:rPr>
        <w:t xml:space="preserve">Основные технико-экономические показатели работы теплоснабжающей организации </w:t>
      </w:r>
      <w:r w:rsidRPr="00B20459">
        <w:rPr>
          <w:rFonts w:ascii="Times New Roman" w:eastAsiaTheme="minorEastAsia" w:hAnsi="Times New Roman" w:cs="Times New Roman"/>
          <w:sz w:val="24"/>
          <w:szCs w:val="24"/>
          <w:lang w:eastAsia="ru-RU"/>
        </w:rPr>
        <w:t>МП Зубово-Полянского муниципального района «ТС» на 2023 г.</w:t>
      </w:r>
    </w:p>
    <w:tbl>
      <w:tblPr>
        <w:tblpPr w:leftFromText="180" w:rightFromText="180" w:vertAnchor="text" w:tblpY="1"/>
        <w:tblOverlap w:val="never"/>
        <w:tblW w:w="4817" w:type="pct"/>
        <w:tblLook w:val="04A0" w:firstRow="1" w:lastRow="0" w:firstColumn="1" w:lastColumn="0" w:noHBand="0" w:noVBand="1"/>
      </w:tblPr>
      <w:tblGrid>
        <w:gridCol w:w="2982"/>
        <w:gridCol w:w="2755"/>
        <w:gridCol w:w="966"/>
        <w:gridCol w:w="1160"/>
        <w:gridCol w:w="1140"/>
      </w:tblGrid>
      <w:tr w:rsidR="00B20459" w:rsidRPr="00B20459" w:rsidTr="00095C1A">
        <w:trPr>
          <w:trHeight w:val="19"/>
          <w:tblHeader/>
        </w:trPr>
        <w:tc>
          <w:tcPr>
            <w:tcW w:w="3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459" w:rsidRPr="00B20459" w:rsidRDefault="00B20459" w:rsidP="00B20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Наименование показателя</w:t>
            </w:r>
          </w:p>
        </w:tc>
        <w:tc>
          <w:tcPr>
            <w:tcW w:w="1782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B20459" w:rsidRPr="00B20459" w:rsidRDefault="00B20459" w:rsidP="00B20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Котельная №5 п. Леплей</w:t>
            </w:r>
          </w:p>
        </w:tc>
      </w:tr>
      <w:tr w:rsidR="00B20459" w:rsidRPr="00B20459" w:rsidTr="00095C1A">
        <w:trPr>
          <w:trHeight w:val="19"/>
        </w:trPr>
        <w:tc>
          <w:tcPr>
            <w:tcW w:w="3218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459" w:rsidRPr="00B20459" w:rsidRDefault="00B20459" w:rsidP="00B20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Основное топливо</w:t>
            </w:r>
          </w:p>
        </w:tc>
        <w:tc>
          <w:tcPr>
            <w:tcW w:w="1782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459" w:rsidRPr="00B20459" w:rsidRDefault="00B20459" w:rsidP="00B20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Природный газ</w:t>
            </w:r>
          </w:p>
        </w:tc>
      </w:tr>
      <w:tr w:rsidR="00B20459" w:rsidRPr="00B20459" w:rsidTr="00095C1A">
        <w:trPr>
          <w:trHeight w:val="78"/>
        </w:trPr>
        <w:tc>
          <w:tcPr>
            <w:tcW w:w="3218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459" w:rsidRPr="00B20459" w:rsidRDefault="00B20459" w:rsidP="00B20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B20459" w:rsidRPr="00B20459" w:rsidRDefault="00B20459" w:rsidP="00B20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ВСЕГО</w:t>
            </w:r>
          </w:p>
        </w:tc>
        <w:tc>
          <w:tcPr>
            <w:tcW w:w="66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0459" w:rsidRPr="00B20459" w:rsidRDefault="00B20459" w:rsidP="00B20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1 полугодие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B20459" w:rsidRPr="00B20459" w:rsidRDefault="00B20459" w:rsidP="00B20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ru-RU"/>
              </w:rPr>
              <w:t>2 полугодие</w:t>
            </w:r>
          </w:p>
        </w:tc>
      </w:tr>
      <w:tr w:rsidR="00B20459" w:rsidRPr="00B20459" w:rsidTr="00095C1A">
        <w:trPr>
          <w:trHeight w:val="19"/>
        </w:trPr>
        <w:tc>
          <w:tcPr>
            <w:tcW w:w="3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459" w:rsidRPr="00B20459" w:rsidRDefault="00B20459" w:rsidP="00B20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Объем произведенной тепловой энергии за год, Гкал</w:t>
            </w:r>
          </w:p>
        </w:tc>
        <w:tc>
          <w:tcPr>
            <w:tcW w:w="479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:rsidR="00B20459" w:rsidRPr="00B20459" w:rsidRDefault="00B20459" w:rsidP="00B2045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4535,575</w:t>
            </w:r>
          </w:p>
        </w:tc>
        <w:tc>
          <w:tcPr>
            <w:tcW w:w="660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B20459" w:rsidRPr="00B20459" w:rsidRDefault="00B20459" w:rsidP="00B2045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2680,532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B20459" w:rsidRPr="00B20459" w:rsidRDefault="00B20459" w:rsidP="00B2045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1855,043</w:t>
            </w:r>
          </w:p>
        </w:tc>
      </w:tr>
      <w:tr w:rsidR="00B20459" w:rsidRPr="00B20459" w:rsidTr="00095C1A">
        <w:trPr>
          <w:trHeight w:val="19"/>
        </w:trPr>
        <w:tc>
          <w:tcPr>
            <w:tcW w:w="3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459" w:rsidRPr="00B20459" w:rsidRDefault="00B20459" w:rsidP="00B20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отпуск тепла c коллекторов котельной, Гкал</w:t>
            </w:r>
          </w:p>
        </w:tc>
        <w:tc>
          <w:tcPr>
            <w:tcW w:w="479" w:type="pct"/>
            <w:tcBorders>
              <w:top w:val="single" w:sz="6" w:space="0" w:color="000000"/>
              <w:left w:val="single" w:sz="12" w:space="0" w:color="000000"/>
              <w:bottom w:val="single" w:sz="6" w:space="0" w:color="000000"/>
              <w:right w:val="single" w:sz="6" w:space="0" w:color="000000"/>
            </w:tcBorders>
            <w:noWrap/>
            <w:vAlign w:val="bottom"/>
          </w:tcPr>
          <w:p w:rsidR="00B20459" w:rsidRPr="00B20459" w:rsidRDefault="00B20459" w:rsidP="00B2045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4449,484</w:t>
            </w:r>
          </w:p>
        </w:tc>
        <w:tc>
          <w:tcPr>
            <w:tcW w:w="660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B20459" w:rsidRPr="00B20459" w:rsidRDefault="00B20459" w:rsidP="00B2045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2627,381</w:t>
            </w:r>
          </w:p>
        </w:tc>
        <w:tc>
          <w:tcPr>
            <w:tcW w:w="642" w:type="pct"/>
            <w:tcBorders>
              <w:top w:val="single" w:sz="6" w:space="0" w:color="000000"/>
              <w:left w:val="single" w:sz="6" w:space="0" w:color="CCCCCC"/>
              <w:bottom w:val="single" w:sz="6" w:space="0" w:color="000000"/>
              <w:right w:val="single" w:sz="6" w:space="0" w:color="000000"/>
            </w:tcBorders>
            <w:vAlign w:val="bottom"/>
          </w:tcPr>
          <w:p w:rsidR="00B20459" w:rsidRPr="00B20459" w:rsidRDefault="00B20459" w:rsidP="00B2045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1822,103</w:t>
            </w:r>
          </w:p>
        </w:tc>
      </w:tr>
      <w:tr w:rsidR="00B20459" w:rsidRPr="00B20459" w:rsidTr="00095C1A">
        <w:trPr>
          <w:trHeight w:val="197"/>
        </w:trPr>
        <w:tc>
          <w:tcPr>
            <w:tcW w:w="3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459" w:rsidRPr="00B20459" w:rsidRDefault="00B20459" w:rsidP="00B20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Полезный отпуск тепловой энергии за год, Гкал, в т.ч.: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20459" w:rsidRPr="00B20459" w:rsidRDefault="00B20459" w:rsidP="00B2045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3575,515</w:t>
            </w:r>
          </w:p>
        </w:tc>
        <w:tc>
          <w:tcPr>
            <w:tcW w:w="66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459" w:rsidRPr="00B20459" w:rsidRDefault="00B20459" w:rsidP="00B2045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2125,595</w:t>
            </w:r>
          </w:p>
        </w:tc>
        <w:tc>
          <w:tcPr>
            <w:tcW w:w="6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0459" w:rsidRPr="00B20459" w:rsidRDefault="00B20459" w:rsidP="00B2045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1449,920</w:t>
            </w:r>
          </w:p>
        </w:tc>
      </w:tr>
      <w:tr w:rsidR="00B20459" w:rsidRPr="00B20459" w:rsidTr="00095C1A">
        <w:trPr>
          <w:trHeight w:val="19"/>
        </w:trPr>
        <w:tc>
          <w:tcPr>
            <w:tcW w:w="3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459" w:rsidRPr="00B20459" w:rsidRDefault="00B20459" w:rsidP="00B20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бюджетные потребители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B20459" w:rsidRPr="00B20459" w:rsidRDefault="00B20459" w:rsidP="00B2045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2299,724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0459" w:rsidRPr="00B20459" w:rsidRDefault="00B20459" w:rsidP="00B2045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1393,398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0459" w:rsidRPr="00B20459" w:rsidRDefault="00B20459" w:rsidP="00B2045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906,326</w:t>
            </w:r>
          </w:p>
        </w:tc>
      </w:tr>
      <w:tr w:rsidR="00B20459" w:rsidRPr="00B20459" w:rsidTr="00095C1A">
        <w:trPr>
          <w:trHeight w:val="19"/>
        </w:trPr>
        <w:tc>
          <w:tcPr>
            <w:tcW w:w="3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459" w:rsidRPr="00B20459" w:rsidRDefault="00B20459" w:rsidP="00B20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население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B20459" w:rsidRPr="00B20459" w:rsidRDefault="00B20459" w:rsidP="00B2045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1255,992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0459" w:rsidRPr="00B20459" w:rsidRDefault="00B20459" w:rsidP="00B2045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720,342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0459" w:rsidRPr="00B20459" w:rsidRDefault="00B20459" w:rsidP="00B2045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535,650</w:t>
            </w:r>
          </w:p>
        </w:tc>
      </w:tr>
      <w:tr w:rsidR="00B20459" w:rsidRPr="00B20459" w:rsidTr="00095C1A">
        <w:trPr>
          <w:trHeight w:val="19"/>
        </w:trPr>
        <w:tc>
          <w:tcPr>
            <w:tcW w:w="3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459" w:rsidRPr="00B20459" w:rsidRDefault="00B20459" w:rsidP="00B20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 прочие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</w:tcPr>
          <w:p w:rsidR="00B20459" w:rsidRPr="00B20459" w:rsidRDefault="00B20459" w:rsidP="00B2045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19,799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0459" w:rsidRPr="00B20459" w:rsidRDefault="00B20459" w:rsidP="00B2045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11,855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B20459" w:rsidRPr="00B20459" w:rsidRDefault="00B20459" w:rsidP="00B20459">
            <w:pPr>
              <w:widowControl w:val="0"/>
              <w:autoSpaceDE w:val="0"/>
              <w:autoSpaceDN w:val="0"/>
              <w:adjustRightInd w:val="0"/>
              <w:spacing w:after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7,943</w:t>
            </w:r>
          </w:p>
        </w:tc>
      </w:tr>
      <w:tr w:rsidR="00B20459" w:rsidRPr="00B20459" w:rsidTr="00095C1A">
        <w:trPr>
          <w:trHeight w:val="19"/>
        </w:trPr>
        <w:tc>
          <w:tcPr>
            <w:tcW w:w="3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459" w:rsidRPr="00B20459" w:rsidRDefault="00B20459" w:rsidP="00B20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условного топлива, т у.т.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459" w:rsidRPr="00B20459" w:rsidRDefault="00B20459" w:rsidP="00B20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739,417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0459" w:rsidRPr="00B20459" w:rsidRDefault="00B20459" w:rsidP="00B20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436,313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0459" w:rsidRPr="00B20459" w:rsidRDefault="00B20459" w:rsidP="00B20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303,104</w:t>
            </w:r>
          </w:p>
        </w:tc>
      </w:tr>
      <w:tr w:rsidR="00B20459" w:rsidRPr="00B20459" w:rsidTr="00095C1A">
        <w:trPr>
          <w:trHeight w:val="19"/>
        </w:trPr>
        <w:tc>
          <w:tcPr>
            <w:tcW w:w="32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459" w:rsidRPr="00B20459" w:rsidRDefault="00B20459" w:rsidP="00B20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Годовой расход натурального топлива (природный газ, тыс.н.м.куб.)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0459" w:rsidRPr="00B20459" w:rsidRDefault="00B20459" w:rsidP="00B20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631,980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0459" w:rsidRPr="00B20459" w:rsidRDefault="00B20459" w:rsidP="00B20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372,917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0459" w:rsidRPr="00B20459" w:rsidRDefault="00B20459" w:rsidP="00B20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259,063</w:t>
            </w:r>
          </w:p>
        </w:tc>
      </w:tr>
      <w:tr w:rsidR="00B20459" w:rsidRPr="00B20459" w:rsidTr="00095C1A">
        <w:trPr>
          <w:trHeight w:val="19"/>
        </w:trPr>
        <w:tc>
          <w:tcPr>
            <w:tcW w:w="1672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459" w:rsidRPr="00B20459" w:rsidRDefault="00B20459" w:rsidP="00B20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Удельный расход топлива на выработку тепловой энергии</w:t>
            </w:r>
          </w:p>
        </w:tc>
        <w:tc>
          <w:tcPr>
            <w:tcW w:w="1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459" w:rsidRPr="00B20459" w:rsidRDefault="00B20459" w:rsidP="00B20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условного кг.у.т./Гкал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0459" w:rsidRPr="00B20459" w:rsidRDefault="00B20459" w:rsidP="00B20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163,026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0459" w:rsidRPr="00B20459" w:rsidRDefault="00B20459" w:rsidP="00B20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162,771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0459" w:rsidRPr="00B20459" w:rsidRDefault="00B20459" w:rsidP="00B20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163,389</w:t>
            </w:r>
          </w:p>
        </w:tc>
      </w:tr>
      <w:tr w:rsidR="00B20459" w:rsidRPr="00B20459" w:rsidTr="00095C1A">
        <w:trPr>
          <w:trHeight w:val="19"/>
        </w:trPr>
        <w:tc>
          <w:tcPr>
            <w:tcW w:w="1672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20459" w:rsidRPr="00B20459" w:rsidRDefault="00B20459" w:rsidP="00B20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54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20459" w:rsidRPr="00B20459" w:rsidRDefault="00B20459" w:rsidP="00B20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Природного газа, нм.куб./Гкал</w:t>
            </w:r>
          </w:p>
        </w:tc>
        <w:tc>
          <w:tcPr>
            <w:tcW w:w="47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20459" w:rsidRPr="00B20459" w:rsidRDefault="00B20459" w:rsidP="00B20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139,339</w:t>
            </w:r>
          </w:p>
        </w:tc>
        <w:tc>
          <w:tcPr>
            <w:tcW w:w="6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0459" w:rsidRPr="00B20459" w:rsidRDefault="00B20459" w:rsidP="00B20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139,121</w:t>
            </w:r>
          </w:p>
        </w:tc>
        <w:tc>
          <w:tcPr>
            <w:tcW w:w="6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B20459" w:rsidRPr="00B20459" w:rsidRDefault="00B20459" w:rsidP="00B2045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B2045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139,649</w:t>
            </w:r>
          </w:p>
        </w:tc>
      </w:tr>
    </w:tbl>
    <w:p w:rsidR="00F54BAD" w:rsidRDefault="00F54BAD"/>
    <w:sectPr w:rsidR="00F54BA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20459" w:rsidRDefault="00B20459" w:rsidP="00B20459">
      <w:pPr>
        <w:spacing w:after="0" w:line="240" w:lineRule="auto"/>
      </w:pPr>
      <w:r>
        <w:separator/>
      </w:r>
    </w:p>
  </w:endnote>
  <w:endnote w:type="continuationSeparator" w:id="0">
    <w:p w:rsidR="00B20459" w:rsidRDefault="00B20459" w:rsidP="00B20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20459" w:rsidRDefault="00B20459" w:rsidP="00B20459">
      <w:pPr>
        <w:spacing w:after="0" w:line="240" w:lineRule="auto"/>
      </w:pPr>
      <w:r>
        <w:separator/>
      </w:r>
    </w:p>
  </w:footnote>
  <w:footnote w:type="continuationSeparator" w:id="0">
    <w:p w:rsidR="00B20459" w:rsidRDefault="00B20459" w:rsidP="00B2045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4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A0909"/>
    <w:rsid w:val="002A0909"/>
    <w:rsid w:val="00B20459"/>
    <w:rsid w:val="00F54B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126A554-E28B-4A78-BD2D-C04AB00B9C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B204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B20459"/>
  </w:style>
  <w:style w:type="paragraph" w:styleId="a5">
    <w:name w:val="footer"/>
    <w:basedOn w:val="a"/>
    <w:link w:val="a6"/>
    <w:uiPriority w:val="99"/>
    <w:unhideWhenUsed/>
    <w:rsid w:val="00B2045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B204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chart" Target="charts/chart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ru.wikipedia.org/wiki/%D0%A2%D0%B5%D0%BC%D0%BD%D0%B8%D0%BA%D0%BE%D0%B2%D1%81%D0%BA%D0%B8%D0%B9_%D1%80%D0%B0%D0%B9%D0%BE%D0%BD" TargetMode="Externa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charts/_rels/chart1.xml.rels><?xml version="1.0" encoding="UTF-8" standalone="yes"?>
<Relationships xmlns="http://schemas.openxmlformats.org/package/2006/relationships"><Relationship Id="rId3" Type="http://schemas.openxmlformats.org/officeDocument/2006/relationships/themeOverride" Target="../theme/themeOverride1.xml"/><Relationship Id="rId2" Type="http://schemas.microsoft.com/office/2011/relationships/chartColorStyle" Target="colors1.xml"/><Relationship Id="rId1" Type="http://schemas.microsoft.com/office/2011/relationships/chartStyle" Target="style1.xml"/><Relationship Id="rId4" Type="http://schemas.openxmlformats.org/officeDocument/2006/relationships/package" Target="../embeddings/_____Microsoft_Excel.xlsx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 xmlns:c16r2="http://schemas.microsoft.com/office/drawing/2015/06/chart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1"/>
    <c:plotArea>
      <c:layout/>
      <c:pieChart>
        <c:varyColors val="1"/>
        <c:ser>
          <c:idx val="0"/>
          <c:order val="0"/>
          <c:tx>
            <c:strRef>
              <c:f>Лист1!$B$1</c:f>
              <c:strCache>
                <c:ptCount val="1"/>
                <c:pt idx="0">
                  <c:v>Столбец1</c:v>
                </c:pt>
              </c:strCache>
            </c:strRef>
          </c:tx>
          <c:dPt>
            <c:idx val="0"/>
            <c:bubble3D val="0"/>
            <c:spPr>
              <a:solidFill>
                <a:schemeClr val="accent1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1-E9FA-4755-9AD5-B926CBF218E1}"/>
              </c:ext>
            </c:extLst>
          </c:dPt>
          <c:dPt>
            <c:idx val="1"/>
            <c:bubble3D val="0"/>
            <c:spPr>
              <a:solidFill>
                <a:schemeClr val="accent2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3-E9FA-4755-9AD5-B926CBF218E1}"/>
              </c:ext>
            </c:extLst>
          </c:dPt>
          <c:dPt>
            <c:idx val="2"/>
            <c:bubble3D val="0"/>
            <c:spPr>
              <a:solidFill>
                <a:schemeClr val="accent3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5-E9FA-4755-9AD5-B926CBF218E1}"/>
              </c:ext>
            </c:extLst>
          </c:dPt>
          <c:dPt>
            <c:idx val="3"/>
            <c:bubble3D val="0"/>
            <c:spPr>
              <a:solidFill>
                <a:schemeClr val="accent4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7-E9FA-4755-9AD5-B926CBF218E1}"/>
              </c:ext>
            </c:extLst>
          </c:dPt>
          <c:dPt>
            <c:idx val="4"/>
            <c:bubble3D val="0"/>
            <c:spPr>
              <a:solidFill>
                <a:schemeClr val="accent5"/>
              </a:solidFill>
              <a:ln>
                <a:noFill/>
              </a:ln>
              <a:effectLst>
                <a:outerShdw blurRad="254000" sx="102000" sy="102000" algn="ctr" rotWithShape="0">
                  <a:prstClr val="black">
                    <a:alpha val="20000"/>
                  </a:prstClr>
                </a:outerShdw>
              </a:effectLst>
            </c:spPr>
            <c:extLst>
              <c:ext xmlns:c16="http://schemas.microsoft.com/office/drawing/2014/chart" uri="{C3380CC4-5D6E-409C-BE32-E72D297353CC}">
                <c16:uniqueId val="{00000009-E9FA-4755-9AD5-B926CBF218E1}"/>
              </c:ext>
            </c:extLst>
          </c:dPt>
          <c:dLbls>
            <c:dLbl>
              <c:idx val="0"/>
              <c:layout/>
              <c:dLblPos val="ctr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1-E9FA-4755-9AD5-B926CBF218E1}"/>
                </c:ext>
              </c:extLst>
            </c:dLbl>
            <c:dLbl>
              <c:idx val="1"/>
              <c:layout/>
              <c:dLblPos val="ctr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3-E9FA-4755-9AD5-B926CBF218E1}"/>
                </c:ext>
              </c:extLst>
            </c:dLbl>
            <c:dLbl>
              <c:idx val="2"/>
              <c:layout/>
              <c:dLblPos val="ctr"/>
              <c:showLegendKey val="0"/>
              <c:showVal val="0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layout/>
                </c:ext>
                <c:ext xmlns:c16="http://schemas.microsoft.com/office/drawing/2014/chart" uri="{C3380CC4-5D6E-409C-BE32-E72D297353CC}">
                  <c16:uniqueId val="{00000005-E9FA-4755-9AD5-B926CBF218E1}"/>
                </c:ext>
              </c:extLst>
            </c:dLbl>
            <c:dLbl>
              <c:idx val="3"/>
              <c:tx>
                <c:rich>
                  <a:bodyPr/>
                  <a:lstStyle/>
                  <a:p>
                    <a:fld id="{CE3A1F40-3B5E-4AC4-A6F3-4096CAE0C350}" type="VALUE">
                      <a:rPr lang="en-US"/>
                      <a:pPr/>
                      <a:t>[ЗНАЧЕНИЕ]</a:t>
                    </a:fld>
                    <a:r>
                      <a:rPr lang="en-US" baseline="0"/>
                      <a:t>; </a:t>
                    </a:r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7-E9FA-4755-9AD5-B926CBF218E1}"/>
                </c:ext>
              </c:extLst>
            </c:dLbl>
            <c:dLbl>
              <c:idx val="4"/>
              <c:tx>
                <c:rich>
                  <a:bodyPr/>
                  <a:lstStyle/>
                  <a:p>
                    <a:fld id="{68A3C426-D739-4C11-AEA2-68E478D2EF95}" type="VALUE">
                      <a:rPr lang="en-US"/>
                      <a:pPr/>
                      <a:t>[ЗНАЧЕНИЕ]</a:t>
                    </a:fld>
                    <a:endParaRPr lang="ru-RU"/>
                  </a:p>
                </c:rich>
              </c:tx>
              <c:dLblPos val="ctr"/>
              <c:showLegendKey val="0"/>
              <c:showVal val="1"/>
              <c:showCatName val="0"/>
              <c:showSerName val="0"/>
              <c:showPercent val="1"/>
              <c:showBubbleSize val="0"/>
              <c:extLst>
                <c:ext xmlns:c15="http://schemas.microsoft.com/office/drawing/2012/chart" uri="{CE6537A1-D6FC-4f65-9D91-7224C49458BB}">
                  <c15:dlblFieldTable/>
                  <c15:showDataLabelsRange val="0"/>
                </c:ext>
                <c:ext xmlns:c16="http://schemas.microsoft.com/office/drawing/2014/chart" uri="{C3380CC4-5D6E-409C-BE32-E72D297353CC}">
                  <c16:uniqueId val="{00000009-E9FA-4755-9AD5-B926CBF218E1}"/>
                </c:ext>
              </c:extLst>
            </c:dLbl>
            <c:spPr>
              <a:pattFill prst="pct75">
                <a:fgClr>
                  <a:schemeClr val="dk1">
                    <a:lumMod val="75000"/>
                    <a:lumOff val="25000"/>
                  </a:schemeClr>
                </a:fgClr>
                <a:bgClr>
                  <a:schemeClr val="dk1">
                    <a:lumMod val="65000"/>
                    <a:lumOff val="35000"/>
                  </a:schemeClr>
                </a:bgClr>
              </a:pattFill>
              <a:ln>
                <a:noFill/>
              </a:ln>
              <a:effectLst>
                <a:outerShdw blurRad="50800" dist="38100" dir="2700000" algn="tl" rotWithShape="0">
                  <a:prstClr val="black">
                    <a:alpha val="40000"/>
                  </a:prstClr>
                </a:outerShdw>
              </a:effectLst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1000" b="1" i="0" u="none" strike="noStrike" kern="1200" baseline="0">
                    <a:solidFill>
                      <a:schemeClr val="lt1"/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ctr"/>
            <c:showLegendKey val="0"/>
            <c:showVal val="1"/>
            <c:showCatName val="0"/>
            <c:showSerName val="0"/>
            <c:showPercent val="1"/>
            <c:showBubbleSize val="0"/>
            <c:showLeaderLines val="1"/>
            <c:leaderLines>
              <c:spPr>
                <a:ln w="9525">
                  <a:solidFill>
                    <a:schemeClr val="dk1">
                      <a:lumMod val="50000"/>
                      <a:lumOff val="50000"/>
                    </a:schemeClr>
                  </a:solidFill>
                </a:ln>
                <a:effectLst/>
              </c:spPr>
            </c:leaderLines>
            <c:extLst>
              <c:ext xmlns:c15="http://schemas.microsoft.com/office/drawing/2012/chart" uri="{CE6537A1-D6FC-4f65-9D91-7224C49458BB}"/>
            </c:extLst>
          </c:dLbls>
          <c:cat>
            <c:strRef>
              <c:f>Лист1!$A$2:$A$4</c:f>
              <c:strCache>
                <c:ptCount val="3"/>
                <c:pt idx="0">
                  <c:v>бюджетные потребители</c:v>
                </c:pt>
                <c:pt idx="1">
                  <c:v>население</c:v>
                </c:pt>
                <c:pt idx="2">
                  <c:v>прочие</c:v>
                </c:pt>
              </c:strCache>
            </c:strRef>
          </c:cat>
          <c:val>
            <c:numRef>
              <c:f>Лист1!$B$2:$B$4</c:f>
              <c:numCache>
                <c:formatCode>0.00%</c:formatCode>
                <c:ptCount val="3"/>
                <c:pt idx="0">
                  <c:v>0.64300000000000002</c:v>
                </c:pt>
                <c:pt idx="1">
                  <c:v>0.35099999999999998</c:v>
                </c:pt>
                <c:pt idx="2">
                  <c:v>6.0000000000000001E-3</c:v>
                </c:pt>
              </c:numCache>
            </c:numRef>
          </c:val>
          <c:extLst>
            <c:ext xmlns:c16="http://schemas.microsoft.com/office/drawing/2014/chart" uri="{C3380CC4-5D6E-409C-BE32-E72D297353CC}">
              <c16:uniqueId val="{0000000A-E9FA-4755-9AD5-B926CBF218E1}"/>
            </c:ext>
          </c:extLst>
        </c:ser>
        <c:dLbls>
          <c:dLblPos val="ctr"/>
          <c:showLegendKey val="0"/>
          <c:showVal val="0"/>
          <c:showCatName val="0"/>
          <c:showSerName val="0"/>
          <c:showPercent val="1"/>
          <c:showBubbleSize val="0"/>
          <c:showLeaderLines val="1"/>
        </c:dLbls>
        <c:firstSliceAng val="0"/>
      </c:pieChart>
      <c:spPr>
        <a:noFill/>
        <a:ln>
          <a:noFill/>
        </a:ln>
        <a:effectLst/>
      </c:spPr>
    </c:plotArea>
    <c:legend>
      <c:legendPos val="r"/>
      <c:layout/>
      <c:overlay val="0"/>
      <c:spPr>
        <a:solidFill>
          <a:schemeClr val="lt1">
            <a:lumMod val="95000"/>
            <a:alpha val="39000"/>
          </a:schemeClr>
        </a:solidFill>
        <a:ln>
          <a:noFill/>
        </a:ln>
        <a:effectLst/>
      </c:spPr>
      <c:txPr>
        <a:bodyPr rot="0" spcFirstLastPara="1" vertOverflow="ellipsis" vert="horz" wrap="square" anchor="ctr" anchorCtr="1"/>
        <a:lstStyle/>
        <a:p>
          <a:pPr>
            <a:defRPr sz="900" b="0" i="0" u="none" strike="noStrike" kern="1200" baseline="0">
              <a:solidFill>
                <a:schemeClr val="dk1">
                  <a:lumMod val="75000"/>
                  <a:lumOff val="2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  <c:showDLblsOverMax val="0"/>
  </c:chart>
  <c:spPr>
    <a:gradFill flip="none" rotWithShape="1">
      <a:gsLst>
        <a:gs pos="0">
          <a:schemeClr val="lt1"/>
        </a:gs>
        <a:gs pos="39000">
          <a:schemeClr val="lt1"/>
        </a:gs>
        <a:gs pos="100000">
          <a:schemeClr val="lt1">
            <a:lumMod val="75000"/>
          </a:schemeClr>
        </a:gs>
      </a:gsLst>
      <a:path path="circle">
        <a:fillToRect l="50000" t="-80000" r="50000" b="180000"/>
      </a:path>
      <a:tileRect/>
    </a:gradFill>
    <a:ln w="9525" cap="flat" cmpd="sng" algn="ctr">
      <a:solidFill>
        <a:schemeClr val="dk1">
          <a:lumMod val="25000"/>
          <a:lumOff val="7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4">
    <c:autoUpdate val="0"/>
  </c:externalData>
</c:chartSpace>
</file>

<file path=word/charts/colors1.xml><?xml version="1.0" encoding="utf-8"?>
<cs:colorStyle xmlns:cs="http://schemas.microsoft.com/office/drawing/2012/chartStyle" xmlns:a="http://schemas.openxmlformats.org/drawingml/2006/main" meth="cycle" id="10">
  <a:schemeClr val="accent1"/>
  <a:schemeClr val="accent2"/>
  <a:schemeClr val="accent3"/>
  <a:schemeClr val="accent4"/>
  <a:schemeClr val="accent5"/>
  <a:schemeClr val="accent6"/>
  <cs:variation/>
  <cs:variation>
    <a:lumMod val="60000"/>
  </cs:variation>
  <cs:variation>
    <a:lumMod val="80000"/>
    <a:lumOff val="20000"/>
  </cs:variation>
  <cs:variation>
    <a:lumMod val="80000"/>
  </cs:variation>
  <cs:variation>
    <a:lumMod val="60000"/>
    <a:lumOff val="40000"/>
  </cs:variation>
  <cs:variation>
    <a:lumMod val="50000"/>
  </cs:variation>
  <cs:variation>
    <a:lumMod val="70000"/>
    <a:lumOff val="30000"/>
  </cs:variation>
  <cs:variation>
    <a:lumMod val="70000"/>
  </cs:variation>
  <cs:variation>
    <a:lumMod val="50000"/>
    <a:lumOff val="50000"/>
  </cs:variation>
</cs:colorStyle>
</file>

<file path=word/charts/style1.xml><?xml version="1.0" encoding="utf-8"?>
<cs:chartStyle xmlns:cs="http://schemas.microsoft.com/office/drawing/2012/chartStyle" xmlns:a="http://schemas.openxmlformats.org/drawingml/2006/main" id="253">
  <cs:axisTitle>
    <cs:lnRef idx="0"/>
    <cs:fillRef idx="0"/>
    <cs:effectRef idx="0"/>
    <cs:fontRef idx="minor">
      <a:schemeClr val="dk1">
        <a:lumMod val="75000"/>
        <a:lumOff val="25000"/>
      </a:schemeClr>
    </cs:fontRef>
    <cs:defRPr sz="900" b="1" kern="1200"/>
  </cs:axisTitle>
  <cs:categoryAxis>
    <cs:lnRef idx="0"/>
    <cs:fillRef idx="0"/>
    <cs:effectRef idx="0"/>
    <cs:fontRef idx="minor">
      <a:schemeClr val="dk1">
        <a:lumMod val="75000"/>
        <a:lumOff val="25000"/>
      </a:schemeClr>
    </cs:fontRef>
    <cs:spPr>
      <a:ln w="190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 cap="all" baseline="0"/>
  </cs:categoryAxis>
  <cs:chartArea>
    <cs:lnRef idx="0"/>
    <cs:fillRef idx="0"/>
    <cs:effectRef idx="0"/>
    <cs:fontRef idx="minor">
      <a:schemeClr val="dk1"/>
    </cs:fontRef>
    <cs:spPr>
      <a:gradFill flip="none" rotWithShape="1">
        <a:gsLst>
          <a:gs pos="0">
            <a:schemeClr val="lt1"/>
          </a:gs>
          <a:gs pos="39000">
            <a:schemeClr val="lt1"/>
          </a:gs>
          <a:gs pos="100000">
            <a:schemeClr val="lt1">
              <a:lumMod val="75000"/>
            </a:schemeClr>
          </a:gs>
        </a:gsLst>
        <a:path path="circle">
          <a:fillToRect l="50000" t="-80000" r="50000" b="180000"/>
        </a:path>
        <a:tileRect/>
      </a:gradFill>
      <a:ln w="9525" cap="flat" cmpd="sng" algn="ctr">
        <a:solidFill>
          <a:schemeClr val="dk1">
            <a:lumMod val="25000"/>
            <a:lumOff val="75000"/>
          </a:schemeClr>
        </a:solidFill>
        <a:round/>
      </a:ln>
    </cs:spPr>
    <cs:defRPr sz="900" kern="1200"/>
  </cs:chartArea>
  <cs:dataLabel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</cs:dataLabel>
  <cs:dataLabelCallout>
    <cs:lnRef idx="0"/>
    <cs:fillRef idx="0"/>
    <cs:effectRef idx="0"/>
    <cs:fontRef idx="minor">
      <a:schemeClr val="lt1"/>
    </cs:fontRef>
    <cs:spPr>
      <a:pattFill prst="pct75">
        <a:fgClr>
          <a:schemeClr val="dk1">
            <a:lumMod val="75000"/>
            <a:lumOff val="25000"/>
          </a:schemeClr>
        </a:fgClr>
        <a:bgClr>
          <a:schemeClr val="dk1">
            <a:lumMod val="65000"/>
            <a:lumOff val="35000"/>
          </a:schemeClr>
        </a:bgClr>
      </a:pattFill>
      <a:effectLst>
        <a:outerShdw blurRad="50800" dist="38100" dir="2700000" algn="tl" rotWithShape="0">
          <a:prstClr val="black">
            <a:alpha val="40000"/>
          </a:prstClr>
        </a:outerShdw>
      </a:effectLst>
    </cs:spPr>
    <cs:defRPr sz="1000" b="1" i="0" u="none" strike="noStrike" kern="1200" baseline="0"/>
    <cs:bodyPr rot="0" spcFirstLastPara="1" vertOverflow="clip" horzOverflow="clip" vert="horz" wrap="square" lIns="36576" tIns="18288" rIns="36576" bIns="18288" anchor="ctr" anchorCtr="1">
      <a:spAutoFit/>
    </cs:bodyPr>
  </cs:dataLabelCallout>
  <cs:dataPoint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>
  <cs:dataPoint3D>
    <cs:lnRef idx="0"/>
    <cs:fillRef idx="0">
      <cs:styleClr val="auto"/>
    </cs:fillRef>
    <cs:effectRef idx="0"/>
    <cs:fontRef idx="minor">
      <a:schemeClr val="dk1"/>
    </cs:fontRef>
    <cs:spPr>
      <a:solidFill>
        <a:schemeClr val="phClr"/>
      </a:solidFill>
      <a:effectLst>
        <a:outerShdw blurRad="254000" sx="102000" sy="102000" algn="ctr" rotWithShape="0">
          <a:prstClr val="black">
            <a:alpha val="20000"/>
          </a:prstClr>
        </a:outerShdw>
      </a:effectLst>
    </cs:spPr>
  </cs:dataPoint3D>
  <cs:dataPointLine>
    <cs:lnRef idx="0">
      <cs:styleClr val="auto"/>
    </cs:lnRef>
    <cs:fillRef idx="0"/>
    <cs:effectRef idx="0"/>
    <cs:fontRef idx="minor">
      <a:schemeClr val="dk1"/>
    </cs:fontRef>
    <cs:spPr>
      <a:ln w="31750" cap="rnd">
        <a:solidFill>
          <a:schemeClr val="phClr">
            <a:alpha val="85000"/>
          </a:schemeClr>
        </a:solidFill>
        <a:round/>
      </a:ln>
    </cs:spPr>
  </cs:dataPointLine>
  <cs:dataPointMarker>
    <cs:lnRef idx="0"/>
    <cs:fillRef idx="0">
      <cs:styleClr val="auto"/>
    </cs:fillRef>
    <cs:effectRef idx="0"/>
    <cs:fontRef idx="minor">
      <a:schemeClr val="dk1"/>
    </cs:fontRef>
    <cs:spPr>
      <a:solidFill>
        <a:schemeClr val="phClr">
          <a:alpha val="85000"/>
        </a:schemeClr>
      </a:solidFill>
    </cs:spPr>
  </cs:dataPointMarker>
  <cs:dataPointMarkerLayout symbol="circle" size="6"/>
  <cs:dataPointWireframe>
    <cs:lnRef idx="0">
      <cs:styleClr val="auto"/>
    </cs:lnRef>
    <cs:fillRef idx="0"/>
    <cs:effectRef idx="0"/>
    <cs:fontRef idx="minor">
      <a:schemeClr val="dk1"/>
    </cs:fontRef>
    <cs:spPr>
      <a:ln w="9525" cap="rnd">
        <a:solidFill>
          <a:schemeClr val="phClr"/>
        </a:solidFill>
        <a:round/>
      </a:ln>
    </cs:spPr>
  </cs:dataPointWireframe>
  <cs:dataTable>
    <cs:lnRef idx="0"/>
    <cs:fillRef idx="0"/>
    <cs:effectRef idx="0"/>
    <cs:fontRef idx="minor">
      <a:schemeClr val="dk1">
        <a:lumMod val="75000"/>
        <a:lumOff val="25000"/>
      </a:schemeClr>
    </cs:fontRef>
    <cs:spPr>
      <a:ln w="9525">
        <a:solidFill>
          <a:schemeClr val="dk1">
            <a:lumMod val="35000"/>
            <a:lumOff val="65000"/>
          </a:schemeClr>
        </a:solidFill>
      </a:ln>
    </cs:spPr>
    <cs:defRPr sz="900" kern="1200"/>
  </cs:dataTable>
  <cs:downBar>
    <cs:lnRef idx="0"/>
    <cs:fillRef idx="0"/>
    <cs:effectRef idx="0"/>
    <cs:fontRef idx="minor">
      <a:schemeClr val="dk1"/>
    </cs:fontRef>
    <cs:spPr>
      <a:solidFill>
        <a:schemeClr val="dk1">
          <a:lumMod val="50000"/>
          <a:lumOff val="50000"/>
        </a:schemeClr>
      </a:solidFill>
      <a:ln w="9525">
        <a:solidFill>
          <a:schemeClr val="dk1">
            <a:lumMod val="65000"/>
            <a:lumOff val="35000"/>
          </a:schemeClr>
        </a:solidFill>
      </a:ln>
    </cs:spPr>
  </cs:downBar>
  <cs:drop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dropLine>
  <cs:errorBar>
    <cs:lnRef idx="0"/>
    <cs:fillRef idx="0"/>
    <cs:effectRef idx="0"/>
    <cs:fontRef idx="minor">
      <a:schemeClr val="dk1"/>
    </cs:fontRef>
    <cs:spPr>
      <a:ln w="9525">
        <a:solidFill>
          <a:schemeClr val="dk1">
            <a:lumMod val="65000"/>
            <a:lumOff val="35000"/>
          </a:schemeClr>
        </a:solidFill>
        <a:round/>
      </a:ln>
    </cs:spPr>
  </cs:errorBar>
  <cs:floor>
    <cs:lnRef idx="0"/>
    <cs:fillRef idx="0"/>
    <cs:effectRef idx="0"/>
    <cs:fontRef idx="minor">
      <a:schemeClr val="dk1"/>
    </cs:fontRef>
  </cs:floor>
  <cs:gridlineMajor>
    <cs:lnRef idx="0"/>
    <cs:fillRef idx="0"/>
    <cs:effectRef idx="0"/>
    <cs:fontRef idx="minor">
      <a:schemeClr val="dk1"/>
    </cs:fontRef>
    <cs:spPr>
      <a:ln w="9525" cap="flat" cmpd="sng" algn="ctr"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  <a:round/>
      </a:ln>
    </cs:spPr>
  </cs:gridlineMajor>
  <cs:gridlineMinor>
    <cs:lnRef idx="0"/>
    <cs:fillRef idx="0"/>
    <cs:effectRef idx="0"/>
    <cs:fontRef idx="minor">
      <a:schemeClr val="dk1"/>
    </cs:fontRef>
    <cs:spPr>
      <a:ln>
        <a:gradFill>
          <a:gsLst>
            <a:gs pos="100000">
              <a:schemeClr val="dk1">
                <a:lumMod val="95000"/>
                <a:lumOff val="5000"/>
                <a:alpha val="42000"/>
              </a:schemeClr>
            </a:gs>
            <a:gs pos="0">
              <a:schemeClr val="lt1">
                <a:lumMod val="75000"/>
                <a:alpha val="36000"/>
              </a:schemeClr>
            </a:gs>
          </a:gsLst>
          <a:lin ang="5400000" scaled="0"/>
        </a:gradFill>
      </a:ln>
    </cs:spPr>
  </cs:gridlineMinor>
  <cs:hiLo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35000"/>
            <a:lumOff val="65000"/>
          </a:schemeClr>
        </a:solidFill>
        <a:prstDash val="dash"/>
      </a:ln>
    </cs:spPr>
  </cs:hiLoLine>
  <cs:leader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</a:ln>
    </cs:spPr>
  </cs:leaderLine>
  <cs:legend>
    <cs:lnRef idx="0"/>
    <cs:fillRef idx="0"/>
    <cs:effectRef idx="0"/>
    <cs:fontRef idx="minor">
      <a:schemeClr val="dk1">
        <a:lumMod val="75000"/>
        <a:lumOff val="25000"/>
      </a:schemeClr>
    </cs:fontRef>
    <cs:spPr>
      <a:solidFill>
        <a:schemeClr val="lt1">
          <a:lumMod val="95000"/>
          <a:alpha val="39000"/>
        </a:schemeClr>
      </a:solidFill>
    </cs:spPr>
    <cs:defRPr sz="900" kern="1200"/>
  </cs:legend>
  <cs:plotArea>
    <cs:lnRef idx="0"/>
    <cs:fillRef idx="0"/>
    <cs:effectRef idx="0"/>
    <cs:fontRef idx="minor">
      <a:schemeClr val="dk1"/>
    </cs:fontRef>
  </cs:plotArea>
  <cs:plotArea3D>
    <cs:lnRef idx="0"/>
    <cs:fillRef idx="0"/>
    <cs:effectRef idx="0"/>
    <cs:fontRef idx="minor">
      <a:schemeClr val="dk1"/>
    </cs:fontRef>
  </cs:plotArea3D>
  <cs:seriesAxis>
    <cs:lnRef idx="0"/>
    <cs:fillRef idx="0"/>
    <cs:effectRef idx="0"/>
    <cs:fontRef idx="minor">
      <a:schemeClr val="dk1">
        <a:lumMod val="75000"/>
        <a:lumOff val="25000"/>
      </a:schemeClr>
    </cs:fontRef>
    <cs:spPr>
      <a:ln w="31750" cap="flat" cmpd="sng" algn="ctr">
        <a:solidFill>
          <a:schemeClr val="dk1">
            <a:lumMod val="75000"/>
            <a:lumOff val="25000"/>
          </a:schemeClr>
        </a:solidFill>
        <a:round/>
      </a:ln>
    </cs:spPr>
    <cs:defRPr sz="900" kern="1200"/>
  </cs:seriesAxis>
  <cs:seriesLine>
    <cs:lnRef idx="0"/>
    <cs:fillRef idx="0"/>
    <cs:effectRef idx="0"/>
    <cs:fontRef idx="minor">
      <a:schemeClr val="dk1"/>
    </cs:fontRef>
    <cs:spPr>
      <a:ln w="9525">
        <a:solidFill>
          <a:schemeClr val="dk1">
            <a:lumMod val="50000"/>
            <a:lumOff val="50000"/>
          </a:schemeClr>
        </a:solidFill>
        <a:round/>
      </a:ln>
    </cs:spPr>
  </cs:seriesLine>
  <cs:title>
    <cs:lnRef idx="0"/>
    <cs:fillRef idx="0"/>
    <cs:effectRef idx="0"/>
    <cs:fontRef idx="minor">
      <a:schemeClr val="dk1">
        <a:lumMod val="75000"/>
        <a:lumOff val="25000"/>
      </a:schemeClr>
    </cs:fontRef>
    <cs:defRPr sz="1800" b="1" kern="1200" baseline="0"/>
  </cs:title>
  <cs:trendline>
    <cs:lnRef idx="0">
      <cs:styleClr val="auto"/>
    </cs:lnRef>
    <cs:fillRef idx="0"/>
    <cs:effectRef idx="0"/>
    <cs:fontRef idx="minor">
      <a:schemeClr val="dk1"/>
    </cs:fontRef>
    <cs:spPr>
      <a:ln w="19050" cap="rnd">
        <a:solidFill>
          <a:schemeClr val="phClr"/>
        </a:solidFill>
      </a:ln>
    </cs:spPr>
  </cs:trendline>
  <cs:trendlineLabel>
    <cs:lnRef idx="0"/>
    <cs:fillRef idx="0"/>
    <cs:effectRef idx="0"/>
    <cs:fontRef idx="minor">
      <a:schemeClr val="dk1">
        <a:lumMod val="75000"/>
        <a:lumOff val="25000"/>
      </a:schemeClr>
    </cs:fontRef>
    <cs:defRPr sz="900" kern="1200"/>
  </cs:trendlineLabel>
  <cs:upBar>
    <cs:lnRef idx="0"/>
    <cs:fillRef idx="0"/>
    <cs:effectRef idx="0"/>
    <cs:fontRef idx="minor">
      <a:schemeClr val="dk1"/>
    </cs:fontRef>
    <cs:spPr>
      <a:solidFill>
        <a:schemeClr val="lt1"/>
      </a:solidFill>
      <a:ln w="9525">
        <a:solidFill>
          <a:schemeClr val="dk1">
            <a:lumMod val="65000"/>
            <a:lumOff val="35000"/>
          </a:schemeClr>
        </a:solidFill>
      </a:ln>
    </cs:spPr>
  </cs:upBar>
  <cs:valueAxis>
    <cs:lnRef idx="0"/>
    <cs:fillRef idx="0"/>
    <cs:effectRef idx="0"/>
    <cs:fontRef idx="minor">
      <a:schemeClr val="dk1">
        <a:lumMod val="75000"/>
        <a:lumOff val="25000"/>
      </a:schemeClr>
    </cs:fontRef>
    <cs:spPr>
      <a:ln>
        <a:noFill/>
      </a:ln>
    </cs:spPr>
    <cs:defRPr sz="900" kern="1200"/>
  </cs:valueAxis>
  <cs:wall>
    <cs:lnRef idx="0"/>
    <cs:fillRef idx="0"/>
    <cs:effectRef idx="0"/>
    <cs:fontRef idx="minor">
      <a:schemeClr val="dk1"/>
    </cs:fontRef>
  </cs:wall>
</cs:chartStyl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44546A"/>
    </a:dk2>
    <a:lt2>
      <a:srgbClr val="E7E6E6"/>
    </a:lt2>
    <a:accent1>
      <a:srgbClr val="5B9BD5"/>
    </a:accent1>
    <a:accent2>
      <a:srgbClr val="ED7D31"/>
    </a:accent2>
    <a:accent3>
      <a:srgbClr val="A5A5A5"/>
    </a:accent3>
    <a:accent4>
      <a:srgbClr val="FFC000"/>
    </a:accent4>
    <a:accent5>
      <a:srgbClr val="4472C4"/>
    </a:accent5>
    <a:accent6>
      <a:srgbClr val="70AD47"/>
    </a:accent6>
    <a:hlink>
      <a:srgbClr val="0563C1"/>
    </a:hlink>
    <a:folHlink>
      <a:srgbClr val="954F72"/>
    </a:folHlink>
  </a:clrScheme>
  <a:fontScheme name="Стандартная">
    <a:majorFont>
      <a:latin typeface="Calibri Light" panose="020F0302020204030204"/>
      <a:ea typeface=""/>
      <a:cs typeface=""/>
      <a:font script="Jpan" typeface="游ゴシック Light"/>
      <a:font script="Hang" typeface="맑은 고딕"/>
      <a:font script="Hans" typeface="等线 Light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 panose="020F0502020204030204"/>
      <a:ea typeface=""/>
      <a:cs typeface=""/>
      <a:font script="Jpan" typeface="游明朝"/>
      <a:font script="Hang" typeface="맑은 고딕"/>
      <a:font script="Hans" typeface="等线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lumMod val="110000"/>
              <a:satMod val="105000"/>
              <a:tint val="67000"/>
            </a:schemeClr>
          </a:gs>
          <a:gs pos="50000">
            <a:schemeClr val="phClr">
              <a:lumMod val="105000"/>
              <a:satMod val="103000"/>
              <a:tint val="73000"/>
            </a:schemeClr>
          </a:gs>
          <a:gs pos="100000">
            <a:schemeClr val="phClr">
              <a:lumMod val="105000"/>
              <a:satMod val="109000"/>
              <a:tint val="81000"/>
            </a:schemeClr>
          </a:gs>
        </a:gsLst>
        <a:lin ang="5400000" scaled="0"/>
      </a:gradFill>
      <a:gradFill rotWithShape="1">
        <a:gsLst>
          <a:gs pos="0">
            <a:schemeClr val="phClr">
              <a:satMod val="103000"/>
              <a:lumMod val="102000"/>
              <a:tint val="94000"/>
            </a:schemeClr>
          </a:gs>
          <a:gs pos="50000">
            <a:schemeClr val="phClr">
              <a:satMod val="110000"/>
              <a:lumMod val="100000"/>
              <a:shade val="100000"/>
            </a:schemeClr>
          </a:gs>
          <a:gs pos="100000">
            <a:schemeClr val="phClr">
              <a:lumMod val="99000"/>
              <a:satMod val="120000"/>
              <a:shade val="78000"/>
            </a:schemeClr>
          </a:gs>
        </a:gsLst>
        <a:lin ang="5400000" scaled="0"/>
      </a:gradFill>
    </a:fillStyleLst>
    <a:lnStyleLst>
      <a:ln w="6350" cap="flat" cmpd="sng" algn="ctr">
        <a:solidFill>
          <a:schemeClr val="phClr"/>
        </a:solidFill>
        <a:prstDash val="solid"/>
        <a:miter lim="800000"/>
      </a:ln>
      <a:ln w="12700" cap="flat" cmpd="sng" algn="ctr">
        <a:solidFill>
          <a:schemeClr val="phClr"/>
        </a:solidFill>
        <a:prstDash val="solid"/>
        <a:miter lim="800000"/>
      </a:ln>
      <a:ln w="19050" cap="flat" cmpd="sng" algn="ctr">
        <a:solidFill>
          <a:schemeClr val="phClr"/>
        </a:solidFill>
        <a:prstDash val="solid"/>
        <a:miter lim="800000"/>
      </a:ln>
    </a:lnStyleLst>
    <a:effectStyleLst>
      <a:effectStyle>
        <a:effectLst/>
      </a:effectStyle>
      <a:effectStyle>
        <a:effectLst/>
      </a:effectStyle>
      <a:effectStyle>
        <a:effectLst>
          <a:outerShdw blurRad="57150" dist="19050" dir="5400000" algn="ctr" rotWithShape="0">
            <a:srgbClr val="000000">
              <a:alpha val="63000"/>
            </a:srgbClr>
          </a:outerShdw>
        </a:effectLst>
      </a:effectStyle>
    </a:effectStyleLst>
    <a:bgFillStyleLst>
      <a:solidFill>
        <a:schemeClr val="phClr"/>
      </a:solidFill>
      <a:solidFill>
        <a:schemeClr val="phClr">
          <a:tint val="95000"/>
          <a:satMod val="170000"/>
        </a:schemeClr>
      </a:solidFill>
      <a:gradFill rotWithShape="1">
        <a:gsLst>
          <a:gs pos="0">
            <a:schemeClr val="phClr">
              <a:tint val="93000"/>
              <a:satMod val="150000"/>
              <a:shade val="98000"/>
              <a:lumMod val="102000"/>
            </a:schemeClr>
          </a:gs>
          <a:gs pos="50000">
            <a:schemeClr val="phClr">
              <a:tint val="98000"/>
              <a:satMod val="130000"/>
              <a:shade val="90000"/>
              <a:lumMod val="103000"/>
            </a:schemeClr>
          </a:gs>
          <a:gs pos="100000">
            <a:schemeClr val="phClr">
              <a:shade val="63000"/>
              <a:satMod val="120000"/>
            </a:schemeClr>
          </a:gs>
        </a:gsLst>
        <a:lin ang="5400000" scaled="0"/>
      </a:gradFill>
    </a:bgFillStyleLst>
  </a:fmtScheme>
</a:themeOverrid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434</Words>
  <Characters>2476</Characters>
  <Application>Microsoft Office Word</Application>
  <DocSecurity>0</DocSecurity>
  <Lines>20</Lines>
  <Paragraphs>5</Paragraphs>
  <ScaleCrop>false</ScaleCrop>
  <Company>SPecialiST RePack</Company>
  <LinksUpToDate>false</LinksUpToDate>
  <CharactersWithSpaces>2905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</dc:creator>
  <cp:keywords/>
  <dc:description/>
  <cp:lastModifiedBy>Дарья</cp:lastModifiedBy>
  <cp:revision>2</cp:revision>
  <dcterms:created xsi:type="dcterms:W3CDTF">2022-11-11T11:47:00Z</dcterms:created>
  <dcterms:modified xsi:type="dcterms:W3CDTF">2022-11-11T11:47:00Z</dcterms:modified>
</cp:coreProperties>
</file>