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9"/>
        <w:jc w:val="center"/>
        <w:rPr>
          <w:rFonts w:ascii="Times New Roman" w:hAnsi="Times New Roman"/>
          <w:b/>
          <w:b/>
          <w:bCs/>
          <w:sz w:val="26"/>
          <w:szCs w:val="26"/>
          <w:shd w:fill="auto" w:val="clear"/>
        </w:rPr>
      </w:pPr>
      <w:r>
        <w:rPr>
          <w:b/>
          <w:bCs/>
          <w:sz w:val="26"/>
          <w:szCs w:val="26"/>
          <w:shd w:fill="auto" w:val="clear"/>
        </w:rPr>
        <w:t>Меры поддержки бизнеса в Республике Мордовия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sz w:val="26"/>
          <w:szCs w:val="26"/>
          <w:shd w:fill="auto" w:val="clear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u w:val="single"/>
          <w:shd w:fill="auto" w:val="clear"/>
        </w:rPr>
      </w:pPr>
      <w:r>
        <w:rPr>
          <w:i/>
          <w:iCs/>
          <w:sz w:val="26"/>
          <w:szCs w:val="26"/>
          <w:u w:val="single"/>
          <w:shd w:fill="auto" w:val="clear"/>
        </w:rPr>
        <w:t>Федеральные меры поддержки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212529"/>
          <w:spacing w:val="0"/>
          <w:sz w:val="26"/>
          <w:szCs w:val="26"/>
          <w:shd w:fill="auto" w:val="clear"/>
        </w:rPr>
        <w:t xml:space="preserve">В настоящее время по поручению Президента предусмотрены </w:t>
      </w:r>
      <w:r>
        <w:rPr>
          <w:b/>
          <w:bCs/>
          <w:i w:val="false"/>
          <w:caps w:val="false"/>
          <w:smallCaps w:val="false"/>
          <w:color w:val="212529"/>
          <w:spacing w:val="0"/>
          <w:sz w:val="26"/>
          <w:szCs w:val="26"/>
          <w:shd w:fill="auto" w:val="clear"/>
        </w:rPr>
        <w:t>единовременные гранты</w:t>
      </w:r>
      <w:r>
        <w:rPr>
          <w:b w:val="false"/>
          <w:i w:val="false"/>
          <w:caps w:val="false"/>
          <w:smallCaps w:val="false"/>
          <w:color w:val="212529"/>
          <w:spacing w:val="0"/>
          <w:sz w:val="26"/>
          <w:szCs w:val="26"/>
          <w:shd w:fill="auto" w:val="clear"/>
        </w:rPr>
        <w:t xml:space="preserve"> из расчета 1 МРОТ (12 792 рубля) на одного сотрудника или на одного индивидуального предпринимателя без работников на поддержку в период режима выходных дней.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212529"/>
          <w:spacing w:val="0"/>
          <w:sz w:val="26"/>
          <w:szCs w:val="26"/>
          <w:shd w:fill="auto" w:val="clear"/>
        </w:rPr>
        <w:t>Важно отметить, что бизнес будет освобожден от налогов с грантов и если предприниматель решит направить грант на зарплаты сотрудникам, ему не придется платить НДФЛ и страховые взносы.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212529"/>
          <w:spacing w:val="0"/>
          <w:sz w:val="26"/>
          <w:szCs w:val="26"/>
          <w:shd w:fill="auto" w:val="clear"/>
        </w:rPr>
        <w:t>Гранты, как и в прошлом году, предоставляются по заявительному принципу. То есть необходимо подать заявление через личный кабинет на сайте ФНС, ТКС либо на бумажном носителе. Период подачи заявлений — с 1 ноября этого года. Выплаты начнут осуществляться с 15 ноября до конца 2021 года. Деньги придут в течение 8 дней.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6"/>
          <w:szCs w:val="26"/>
          <w:shd w:fill="auto" w:val="clear"/>
        </w:rPr>
        <w:t>Выплаты смогут получить предприятия, которые работают в пострадавших отраслях экономики (спорт, гостиничный бизнес, общепит, допобразование, бытовые услуги, культура, организация досуга и развлечений, стоматологическая практика и др.*) а также социально ориентированные НКО из реестров Минэкономразвития России.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iCs/>
          <w:sz w:val="20"/>
          <w:szCs w:val="20"/>
          <w:shd w:fill="auto" w:val="clear"/>
        </w:rPr>
      </w:pPr>
      <w:r>
        <w:rPr>
          <w:b w:val="false"/>
          <w:i/>
          <w:iCs/>
          <w:caps w:val="false"/>
          <w:smallCaps w:val="false"/>
          <w:color w:val="222222"/>
          <w:spacing w:val="0"/>
          <w:sz w:val="20"/>
          <w:szCs w:val="20"/>
          <w:shd w:fill="auto" w:val="clear"/>
        </w:rPr>
        <w:t xml:space="preserve">*Полный перечень отраслей по грантам </w:t>
      </w:r>
      <w:r>
        <w:rPr>
          <w:rFonts w:eastAsia="Times New Roman" w:cs="Times New Roman"/>
          <w:b w:val="false"/>
          <w:i/>
          <w:iCs/>
          <w:caps w:val="false"/>
          <w:smallCaps w:val="false"/>
          <w:color w:val="222222"/>
          <w:spacing w:val="0"/>
          <w:kern w:val="0"/>
          <w:sz w:val="20"/>
          <w:szCs w:val="20"/>
          <w:shd w:fill="auto" w:val="clear"/>
          <w:lang w:val="ru-RU" w:eastAsia="ru-RU" w:bidi="ar-SA"/>
        </w:rPr>
        <w:t>определен</w:t>
      </w:r>
      <w:r>
        <w:rPr>
          <w:b w:val="false"/>
          <w:i/>
          <w:iCs/>
          <w:caps w:val="false"/>
          <w:smallCaps w:val="false"/>
          <w:color w:val="222222"/>
          <w:spacing w:val="0"/>
          <w:sz w:val="20"/>
          <w:szCs w:val="20"/>
          <w:shd w:fill="auto" w:val="clear"/>
        </w:rPr>
        <w:t xml:space="preserve"> Постановлением Правительства Российской Федерации от 7 сентября 2021 г. № 1513 «Об утверждении Правил предоставления из федерального бюджета субсидий субъектам МСП и СОНКО в условиях ухудшения ситуации в результате распространения коронавирусной инфекции».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sz w:val="26"/>
          <w:szCs w:val="26"/>
          <w:shd w:fill="auto" w:val="clear"/>
        </w:rPr>
      </w:r>
    </w:p>
    <w:p>
      <w:pPr>
        <w:pStyle w:val="Style16"/>
        <w:spacing w:lineRule="auto" w:line="240" w:before="0" w:after="0"/>
        <w:ind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  <w:t xml:space="preserve">С ноября по декабрь 2021 года для субъектов МСП и СОНКО  возобновлена выдача льготных кредитов по ставке 3% годовых (второй этап программы кредитования </w:t>
      </w:r>
      <w:r>
        <w:rPr>
          <w:b/>
          <w:bCs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  <w:t>«ФОТ 3.0»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  <w:t>).</w:t>
      </w:r>
    </w:p>
    <w:p>
      <w:pPr>
        <w:pStyle w:val="Style16"/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  <w:t>Получить поддержку смогут кинотеатры, музеи, зоопарки, спортивные организации и фитнес-центры, санатории, турагентства, гостиницы, предприятия общепита, парикмахерские и салоны красоты, химчистки а также компании, которые занимаются организацией досуга, отдыха, развлечений и мероприятий* – юридические лица и ИП. Ключевое условие программы – сохранение численности работников на уровне не ниже 90%. Этот показатель будет контролироваться через данные ФНС на основе ежеквартальной отчетности по форме РСВ.</w:t>
      </w:r>
    </w:p>
    <w:p>
      <w:pPr>
        <w:pStyle w:val="Style16"/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shd w:fill="auto" w:val="clear"/>
        </w:rPr>
        <w:t xml:space="preserve">Кредиты по льготной ставке будут выдаваться заёмщикам, которые участвовали в программе «ФОТ 2.0» или «ФОТ 3.0», СОНКО из реестров Минэкономразвития России и начинающим предприятиям, созданным с 1 июля 2020 года. </w:t>
      </w: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Максимальная сумма кредита рассчитывается исходя из 1 МРОТ каждому работнику предприятия в течение 12 месяцев. Кредиты выдаются под государственные гарантии сроком на 18 месяцев без залога. В первые 6 месяцев предусмотрен льготный период с освобождением от выплаты кредита и процентов по нему, а в течение последующих 12 месяцев заемщик сможет возвращать кредит и проценты равными долями.</w:t>
      </w:r>
      <w:r>
        <w:rPr>
          <w:sz w:val="26"/>
          <w:szCs w:val="26"/>
          <w:shd w:fill="auto" w:val="clear"/>
        </w:rPr>
        <w:t xml:space="preserve"> </w:t>
      </w:r>
    </w:p>
    <w:p>
      <w:pPr>
        <w:pStyle w:val="Style16"/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sz w:val="26"/>
          <w:szCs w:val="26"/>
          <w:shd w:fill="auto" w:val="clear"/>
        </w:rPr>
        <w:t xml:space="preserve">* </w:t>
      </w:r>
      <w:r>
        <w:rPr>
          <w:b w:val="false"/>
          <w:i/>
          <w:iCs/>
          <w:caps w:val="false"/>
          <w:smallCaps w:val="false"/>
          <w:color w:val="222222"/>
          <w:spacing w:val="0"/>
          <w:sz w:val="20"/>
          <w:szCs w:val="20"/>
          <w:shd w:fill="auto" w:val="clear"/>
        </w:rPr>
        <w:t>Полный перечень отраслей программы «ФОТ 3.0» закреплен Постановлением Правительства Российской Федерации от 27 февраля 2021 г. № 279 «Об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2021 году юридическим лицам и индивидуальным предпринимателям на восстановление предпринимательской деятельности».</w:t>
      </w:r>
    </w:p>
    <w:p>
      <w:pPr>
        <w:pStyle w:val="Style16"/>
        <w:widowControl/>
        <w:spacing w:lineRule="auto" w:line="240" w:before="0" w:after="0"/>
        <w:ind w:left="0" w:right="0" w:hanging="0"/>
        <w:jc w:val="left"/>
        <w:rPr>
          <w:rFonts w:ascii="Times New Roman" w:hAnsi="Times New Roman"/>
          <w:sz w:val="26"/>
          <w:szCs w:val="26"/>
          <w:shd w:fill="auto" w:val="clear"/>
        </w:rPr>
      </w:pPr>
      <w:r>
        <w:rPr>
          <w:sz w:val="26"/>
          <w:szCs w:val="26"/>
          <w:shd w:fill="auto" w:val="clear"/>
        </w:rPr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iCs/>
          <w:sz w:val="26"/>
          <w:szCs w:val="26"/>
          <w:u w:val="single"/>
          <w:shd w:fill="auto" w:val="clear"/>
        </w:rPr>
      </w:pPr>
      <w:r>
        <w:rPr>
          <w:b w:val="false"/>
          <w:i/>
          <w:iCs/>
          <w:caps w:val="false"/>
          <w:smallCaps w:val="false"/>
          <w:color w:val="222222"/>
          <w:spacing w:val="0"/>
          <w:sz w:val="26"/>
          <w:szCs w:val="26"/>
          <w:u w:val="single"/>
          <w:shd w:fill="auto" w:val="clear"/>
        </w:rPr>
        <w:t>Региональные меры поддержки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sz w:val="26"/>
          <w:szCs w:val="26"/>
          <w:shd w:fill="auto" w:val="clear"/>
        </w:rPr>
        <w:t xml:space="preserve">В целях поддержки субъектов </w:t>
      </w:r>
      <w:r>
        <w:rPr>
          <w:rFonts w:eastAsia="Times New Roman" w:cs="Times New Roman"/>
          <w:color w:val="000000"/>
          <w:kern w:val="0"/>
          <w:sz w:val="26"/>
          <w:szCs w:val="26"/>
          <w:shd w:fill="auto" w:val="clear"/>
          <w:lang w:val="ru-RU" w:eastAsia="ru-RU" w:bidi="ar-SA"/>
        </w:rPr>
        <w:t>МСП</w:t>
      </w:r>
      <w:r>
        <w:rPr>
          <w:sz w:val="26"/>
          <w:szCs w:val="26"/>
          <w:shd w:fill="auto" w:val="clear"/>
        </w:rPr>
        <w:t xml:space="preserve"> в условиях ухудшения экономической ситуации, связанной с распространением новой коронавирусной инфекции (</w:t>
      </w:r>
      <w:r>
        <w:rPr>
          <w:sz w:val="26"/>
          <w:szCs w:val="26"/>
          <w:shd w:fill="auto" w:val="clear"/>
          <w:lang w:val="en-US"/>
        </w:rPr>
        <w:t>COVID</w:t>
      </w:r>
      <w:r>
        <w:rPr>
          <w:sz w:val="26"/>
          <w:szCs w:val="26"/>
          <w:shd w:fill="auto" w:val="clear"/>
        </w:rPr>
        <w:t xml:space="preserve">-19) в 2021 году продолжается предоставление дополнительных мер по снижению нагрузки для субъектов МСП, в том числе действующих заемщиков, у которых возникнут трудности с оплатой текущих платежей по взятым обязательствам в виде </w:t>
      </w:r>
      <w:r>
        <w:rPr>
          <w:b/>
          <w:bCs/>
          <w:i/>
          <w:iCs/>
          <w:sz w:val="26"/>
          <w:szCs w:val="26"/>
          <w:shd w:fill="auto" w:val="clear"/>
        </w:rPr>
        <w:t>отсрочки погашения основного долга на конец срока действия займа и реструктуризации (изменения) графика платежей в связи с уменьшением размера очередного платежа по основному долгу</w:t>
      </w:r>
      <w:r>
        <w:rPr>
          <w:sz w:val="26"/>
          <w:szCs w:val="26"/>
          <w:shd w:fill="auto" w:val="clear"/>
        </w:rPr>
        <w:t>.</w:t>
      </w:r>
    </w:p>
    <w:p>
      <w:pPr>
        <w:pStyle w:val="Style20"/>
        <w:tabs>
          <w:tab w:val="clear" w:pos="708"/>
          <w:tab w:val="left" w:pos="2340" w:leader="none"/>
        </w:tabs>
        <w:ind w:left="0" w:right="0" w:firstLine="709"/>
        <w:jc w:val="both"/>
        <w:rPr>
          <w:rFonts w:ascii="Times New Roman" w:hAnsi="Times New Roman"/>
          <w:bCs/>
          <w:color w:val="000000"/>
          <w:sz w:val="26"/>
          <w:szCs w:val="26"/>
          <w:shd w:fill="auto" w:val="clear"/>
        </w:rPr>
      </w:pPr>
      <w:r>
        <w:rPr>
          <w:bCs/>
          <w:color w:val="000000"/>
          <w:sz w:val="26"/>
          <w:szCs w:val="26"/>
          <w:shd w:fill="auto" w:val="clear"/>
        </w:rPr>
        <w:t>Поддержка оказывается в виде отсрочки погашения основного долга на конец срока действия займа, реструктуризации (изменения) графика платежей в связи с уменьшением размера очередного платежа по основному долгу.</w:t>
      </w:r>
    </w:p>
    <w:p>
      <w:pPr>
        <w:pStyle w:val="Style20"/>
        <w:tabs>
          <w:tab w:val="clear" w:pos="708"/>
          <w:tab w:val="left" w:pos="2340" w:leader="none"/>
        </w:tabs>
        <w:ind w:left="0" w:right="0" w:firstLine="709"/>
        <w:jc w:val="both"/>
        <w:rPr>
          <w:rFonts w:ascii="Times New Roman" w:hAnsi="Times New Roman"/>
          <w:i/>
          <w:i/>
          <w:iCs/>
          <w:sz w:val="20"/>
          <w:szCs w:val="20"/>
          <w:shd w:fill="auto" w:val="clear"/>
        </w:rPr>
      </w:pPr>
      <w:r>
        <w:rPr>
          <w:bCs/>
          <w:i/>
          <w:iCs/>
          <w:color w:val="000000"/>
          <w:sz w:val="20"/>
          <w:szCs w:val="20"/>
          <w:shd w:fill="auto" w:val="clear"/>
        </w:rPr>
        <w:t>Количество поступивших обращений субъектами МСП об изменении условий договора займа (реструктуризации)</w:t>
      </w:r>
      <w:r>
        <w:rPr>
          <w:b/>
          <w:i/>
          <w:iCs/>
          <w:color w:val="000000"/>
          <w:sz w:val="20"/>
          <w:szCs w:val="20"/>
          <w:shd w:fill="auto" w:val="clear"/>
        </w:rPr>
        <w:t xml:space="preserve"> </w:t>
      </w:r>
      <w:r>
        <w:rPr>
          <w:bCs/>
          <w:i/>
          <w:iCs/>
          <w:color w:val="000000"/>
          <w:sz w:val="20"/>
          <w:szCs w:val="20"/>
          <w:shd w:fill="auto" w:val="clear"/>
        </w:rPr>
        <w:t>с начала 2021 года составило 21 обращение.</w:t>
      </w:r>
      <w:r>
        <w:rPr>
          <w:rFonts w:eastAsia="Calibri"/>
          <w:bCs/>
          <w:i/>
          <w:iCs/>
          <w:color w:val="000000"/>
          <w:sz w:val="20"/>
          <w:szCs w:val="20"/>
          <w:shd w:fill="auto" w:val="clear"/>
          <w:lang w:eastAsia="en-US"/>
        </w:rPr>
        <w:t xml:space="preserve"> Объем </w:t>
      </w:r>
      <w:r>
        <w:rPr>
          <w:rFonts w:eastAsia="Calibri"/>
          <w:b w:val="false"/>
          <w:bCs w:val="false"/>
          <w:i/>
          <w:iCs/>
          <w:color w:val="000000"/>
          <w:sz w:val="20"/>
          <w:szCs w:val="20"/>
          <w:shd w:fill="auto" w:val="clear"/>
          <w:lang w:eastAsia="en-US"/>
        </w:rPr>
        <w:t>отсроченной задолженности по реструктурированным займам составил 24,89 млн. рублей.</w:t>
      </w:r>
    </w:p>
    <w:p>
      <w:pPr>
        <w:pStyle w:val="Style20"/>
        <w:tabs>
          <w:tab w:val="clear" w:pos="708"/>
          <w:tab w:val="left" w:pos="2340" w:leader="none"/>
        </w:tabs>
        <w:ind w:left="0" w:right="0" w:firstLine="709"/>
        <w:jc w:val="both"/>
        <w:rPr>
          <w:rFonts w:eastAsia="Calibri"/>
          <w:b w:val="false"/>
          <w:b w:val="false"/>
          <w:bCs w:val="false"/>
          <w:color w:val="000000"/>
          <w:lang w:eastAsia="en-US"/>
        </w:rPr>
      </w:pPr>
      <w:r>
        <w:rPr>
          <w:rFonts w:eastAsia="Calibri"/>
          <w:b w:val="false"/>
          <w:bCs w:val="false"/>
          <w:color w:val="000000"/>
          <w:lang w:eastAsia="en-US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rFonts w:eastAsia="Calibri"/>
          <w:color w:val="000000"/>
          <w:sz w:val="26"/>
          <w:szCs w:val="26"/>
          <w:shd w:fill="auto" w:val="clear"/>
          <w:lang w:eastAsia="en-US"/>
        </w:rPr>
        <w:t xml:space="preserve">В целях продолжения поддержки </w:t>
      </w:r>
      <w:r>
        <w:rPr>
          <w:rFonts w:eastAsia="Calibri" w:cs="Times New Roman"/>
          <w:color w:val="000000"/>
          <w:kern w:val="0"/>
          <w:sz w:val="26"/>
          <w:szCs w:val="26"/>
          <w:shd w:fill="auto" w:val="clear"/>
          <w:lang w:val="ru-RU" w:eastAsia="en-US" w:bidi="ar-SA"/>
        </w:rPr>
        <w:t xml:space="preserve">субъектов </w:t>
      </w:r>
      <w:r>
        <w:rPr>
          <w:rFonts w:eastAsia="Calibri"/>
          <w:color w:val="000000"/>
          <w:sz w:val="26"/>
          <w:szCs w:val="26"/>
          <w:shd w:fill="auto" w:val="clear"/>
          <w:lang w:eastAsia="en-US"/>
        </w:rPr>
        <w:t xml:space="preserve">МСП осуществляющих свою деятельность в пострадавших отраслях экономики сохранен продукт «Поддержка»               (6,75 % годовых). 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sz w:val="26"/>
          <w:szCs w:val="26"/>
          <w:shd w:fill="auto" w:val="clear"/>
        </w:rPr>
        <w:t xml:space="preserve">По программе </w:t>
      </w:r>
      <w:r>
        <w:rPr>
          <w:b/>
          <w:bCs/>
          <w:sz w:val="26"/>
          <w:szCs w:val="26"/>
          <w:shd w:fill="auto" w:val="clear"/>
        </w:rPr>
        <w:t>«Поддержка»</w:t>
      </w:r>
      <w:r>
        <w:rPr>
          <w:sz w:val="26"/>
          <w:szCs w:val="26"/>
          <w:shd w:fill="auto" w:val="clear"/>
        </w:rPr>
        <w:t xml:space="preserve"> в 2021 году финансовая поддержка оказана 38 субъектам МСП. Сумма оказанной поддержки 80,32 млн. рублей.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rFonts w:eastAsia="Calibri"/>
          <w:b w:val="false"/>
          <w:bCs w:val="false"/>
          <w:color w:val="000000"/>
          <w:sz w:val="26"/>
          <w:szCs w:val="26"/>
          <w:shd w:fill="auto" w:val="clear"/>
          <w:lang w:eastAsia="en-US"/>
        </w:rPr>
        <w:t xml:space="preserve">В октябре 2021 года </w:t>
      </w:r>
      <w:r>
        <w:rPr>
          <w:rFonts w:eastAsia="Calibri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en-US" w:bidi="ar-SA"/>
        </w:rPr>
        <w:t>МКК</w:t>
      </w:r>
      <w:r>
        <w:rPr>
          <w:rFonts w:eastAsia="Calibri"/>
          <w:b w:val="false"/>
          <w:bCs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 xml:space="preserve"> Фонд поддержки предпринимательства Республики Мордовия разработан новый продукт </w:t>
      </w:r>
      <w:r>
        <w:rPr>
          <w:rFonts w:eastAsia="Calibri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>«Антикризисный»</w:t>
      </w:r>
      <w:r>
        <w:rPr>
          <w:rFonts w:eastAsia="Calibri"/>
          <w:b w:val="false"/>
          <w:bCs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 xml:space="preserve"> по льготной ставке 1% годовых в сумме до 2 млн рублей на срок до 2 лет.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rFonts w:eastAsia="Calibri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 xml:space="preserve">Финансовую поддержку могут получить субъекты </w:t>
      </w:r>
      <w:r>
        <w:rPr>
          <w:rFonts w:eastAsia="Calibri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en-US" w:bidi="ar-SA"/>
        </w:rPr>
        <w:t>МСП</w:t>
      </w:r>
      <w:r>
        <w:rPr>
          <w:rFonts w:eastAsia="Calibri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>, деятельность которых соответствует требованиям Федерального закона №209-ФЗ, зарегистрированные и осуществляющие свою деятельность на территории Республики Мордовия по следующи</w:t>
      </w:r>
      <w:r>
        <w:rPr>
          <w:rFonts w:eastAsia="Calibri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en-US" w:bidi="ar-SA"/>
        </w:rPr>
        <w:t>м</w:t>
      </w:r>
      <w:r>
        <w:rPr>
          <w:rFonts w:eastAsia="Calibri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 xml:space="preserve"> вид</w:t>
      </w:r>
      <w:r>
        <w:rPr>
          <w:rFonts w:eastAsia="Calibri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  <w:shd w:fill="auto" w:val="clear"/>
          <w:lang w:val="ru-RU" w:eastAsia="en-US" w:bidi="ar-SA"/>
        </w:rPr>
        <w:t>ам</w:t>
      </w:r>
      <w:r>
        <w:rPr>
          <w:rFonts w:eastAsia="Calibri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  <w:lang w:eastAsia="en-US"/>
        </w:rPr>
        <w:t>: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рестораны, кафе, столовые, буфеты, бары, закусочные и иные организации общественного питания;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салоны красоты, парикмахерские, косметические салоны, СПА-салоны, массажные салоны, солярии;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бани, сауны, плавательные бассейны, спортивные и тренажерные залы, фитнес-центры;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картинговые центры, конные центры (клубы);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СМСП, организующие концертные и выставочные мероприятия;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детские игровые комнаты и детские развлекательные центры, размещенные в торговых и культурно-досуговых центрах, павильонах и прочих объектах нежилого назначения.</w:t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  <w:shd w:fill="auto" w:val="clear"/>
        </w:rPr>
        <w:t>Денежные средства можно расходовать на пополнение оборотных средств, в том числе: оплата налоговых платежей и сборов, оплата заработной платы, оплата арендных платежей и коммунальных услуг.</w:t>
      </w:r>
      <w:r>
        <w:rPr>
          <w:color w:val="000000"/>
          <w:sz w:val="26"/>
          <w:szCs w:val="26"/>
          <w:shd w:fill="auto" w:val="clear"/>
        </w:rPr>
        <w:t xml:space="preserve"> </w:t>
      </w:r>
    </w:p>
    <w:p>
      <w:pPr>
        <w:pStyle w:val="Normal"/>
        <w:ind w:firstLine="709"/>
        <w:jc w:val="both"/>
        <w:rPr>
          <w:rFonts w:ascii="Times New Roman" w:hAnsi="Times New Roman"/>
          <w:b w:val="false"/>
          <w:b w:val="false"/>
          <w:bCs w:val="false"/>
          <w:sz w:val="26"/>
          <w:szCs w:val="26"/>
          <w:shd w:fill="auto" w:val="clear"/>
        </w:rPr>
      </w:pPr>
      <w:r>
        <w:rPr>
          <w:b w:val="false"/>
          <w:bCs w:val="false"/>
          <w:sz w:val="26"/>
          <w:szCs w:val="26"/>
          <w:shd w:fill="auto" w:val="clear"/>
        </w:rPr>
        <w:t xml:space="preserve">Процентная ставка по кредитным продуктам </w:t>
      </w:r>
      <w:r>
        <w:rPr>
          <w:b/>
          <w:bCs/>
          <w:sz w:val="26"/>
          <w:szCs w:val="26"/>
          <w:shd w:fill="auto" w:val="clear"/>
        </w:rPr>
        <w:t>«Лёгкий старт» для начинающих предпринимателей и «Я сам» для самозанятых граждан</w:t>
      </w:r>
      <w:r>
        <w:rPr>
          <w:b w:val="false"/>
          <w:bCs w:val="false"/>
          <w:sz w:val="26"/>
          <w:szCs w:val="26"/>
          <w:shd w:fill="auto" w:val="clear"/>
        </w:rPr>
        <w:t xml:space="preserve"> снижена до 3, 75 % годовых на период пользования. При сумме займов до 100 000 рублей залог и поручительство не требуются. При сумме займов до 200 000 рублей не требуется залог и поручительство заемщикам, проходившим обучение в центре «Мой бизнес» или в образовательных организациях.</w:t>
      </w:r>
    </w:p>
    <w:p>
      <w:pPr>
        <w:pStyle w:val="Normal"/>
        <w:ind w:firstLine="709"/>
        <w:jc w:val="both"/>
        <w:rPr>
          <w:rFonts w:ascii="Times New Roman" w:hAnsi="Times New Roman"/>
          <w:b/>
          <w:b/>
          <w:bCs/>
          <w:sz w:val="26"/>
          <w:szCs w:val="26"/>
          <w:shd w:fill="auto" w:val="clear"/>
        </w:rPr>
      </w:pPr>
      <w:r>
        <w:rPr>
          <w:b/>
          <w:bCs/>
          <w:sz w:val="26"/>
          <w:szCs w:val="26"/>
          <w:shd w:fill="auto" w:val="clear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6"/>
          <w:szCs w:val="26"/>
          <w:shd w:fill="auto" w:val="clear"/>
        </w:rPr>
      </w:pPr>
      <w:r>
        <w:rPr>
          <w:rFonts w:eastAsia="Calibri" w:eastAsiaTheme="minorHAnsi"/>
          <w:sz w:val="26"/>
          <w:szCs w:val="26"/>
          <w:shd w:fill="auto" w:val="clear"/>
          <w:lang w:eastAsia="en-US"/>
        </w:rPr>
        <w:t>Региональной гарантийной организацией снижены ставки по комиссии за выдачу поручительств по кредитам: ставка по новым поручительствам снижена с 1,25% до 0,75% годовых. Ставка по пролонгируемым поручительствам снижена с 1,25% до 0,5% годовых. Специальные условия продлены до 31 декабря 2021 года (для субъектов МСП пострадавших отраслей), поручительства, сроком до 3-х лет – ставка 0,5% годовых.</w:t>
      </w:r>
    </w:p>
    <w:p>
      <w:pPr>
        <w:pStyle w:val="Normal"/>
        <w:ind w:firstLine="567"/>
        <w:jc w:val="both"/>
        <w:rPr>
          <w:i/>
          <w:i/>
          <w:iCs/>
          <w:sz w:val="22"/>
          <w:szCs w:val="22"/>
        </w:rPr>
      </w:pPr>
      <w:r>
        <w:rPr>
          <w:i/>
          <w:iCs/>
          <w:sz w:val="22"/>
          <w:szCs w:val="22"/>
          <w:shd w:fill="auto" w:val="clear"/>
        </w:rPr>
        <w:t xml:space="preserve">По состоянию на 01 ноября 2021 г. в адрес Гарантийного фонда выдано 29 поручительств на сумму 140,8 млн. рублей, сумма привлеченных кредитов </w:t>
      </w:r>
      <w:r>
        <w:rPr>
          <w:rFonts w:eastAsia="Times New Roman" w:cs="Times New Roman"/>
          <w:i/>
          <w:iCs/>
          <w:color w:val="000000"/>
          <w:kern w:val="0"/>
          <w:sz w:val="22"/>
          <w:szCs w:val="22"/>
          <w:shd w:fill="auto" w:val="clear"/>
          <w:lang w:val="ru-RU" w:eastAsia="ru-RU" w:bidi="ar-SA"/>
        </w:rPr>
        <w:t>329</w:t>
      </w:r>
      <w:r>
        <w:rPr>
          <w:i/>
          <w:iCs/>
          <w:sz w:val="22"/>
          <w:szCs w:val="22"/>
          <w:shd w:fill="auto" w:val="clear"/>
        </w:rPr>
        <w:t xml:space="preserve">,8 млн. рублей. </w:t>
      </w:r>
      <w:r>
        <w:rPr>
          <w:rFonts w:eastAsia="Calibri" w:eastAsiaTheme="minorHAnsi"/>
          <w:i/>
          <w:iCs/>
          <w:sz w:val="22"/>
          <w:szCs w:val="22"/>
          <w:shd w:fill="auto" w:val="clear"/>
          <w:lang w:eastAsia="en-US"/>
        </w:rPr>
        <w:t>На пролонгацию по действующим поручительствам поступило 4 заявки на общую сумму 32,7 млн. рублей (по кредитам на сумму 50,9 млн. рублей).</w:t>
      </w:r>
      <w:r>
        <w:rPr>
          <w:i/>
          <w:iCs/>
          <w:sz w:val="22"/>
          <w:szCs w:val="22"/>
          <w:shd w:fill="auto" w:val="clear"/>
        </w:rPr>
        <w:t xml:space="preserve"> </w:t>
      </w:r>
    </w:p>
    <w:sectPr>
      <w:type w:val="nextPage"/>
      <w:pgSz w:w="11906" w:h="16838"/>
      <w:pgMar w:left="1245" w:right="68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a356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Маркеры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Обычный (Интернет)"/>
    <w:basedOn w:val="Normal"/>
    <w:qFormat/>
    <w:pPr>
      <w:suppressAutoHyphens w:val="true"/>
      <w:spacing w:lineRule="auto" w:line="240" w:before="0" w:after="0"/>
    </w:pPr>
    <w:rPr>
      <w:rFonts w:ascii="Times New Roman" w:hAnsi="Times New Roman" w:cs="Times New Roman"/>
      <w:sz w:val="24"/>
      <w:szCs w:val="24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Application>LibreOffice/7.1.5.2$Windows_X86_64 LibreOffice_project/85f04e9f809797b8199d13c421bd8a2b025d52b5</Application>
  <AppVersion>15.0000</AppVersion>
  <Pages>3</Pages>
  <Words>878</Words>
  <Characters>5793</Characters>
  <CharactersWithSpaces>6665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2021-02-08T12:17:00Z</dcterms:created>
  <dc:creator>Смолкина И.А.</dc:creator>
  <dc:description/>
  <dc:language>ru-RU</dc:language>
  <cp:lastModifiedBy/>
  <cp:lastPrinted>2021-01-25T08:13:00Z</cp:lastPrinted>
  <dcterms:modified xsi:type="dcterms:W3CDTF">2021-11-08T09:42:26Z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