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B65" w:rsidRDefault="003C0625">
      <w:pPr>
        <w:rPr>
          <w:rFonts w:hint="eastAsia"/>
        </w:rPr>
      </w:pPr>
      <w:bookmarkStart w:id="0" w:name="__DdeLink__374_2081218575"/>
      <w:bookmarkStart w:id="1" w:name="_GoBack"/>
      <w:bookmarkEnd w:id="1"/>
      <w:r>
        <w:t>Будет ли повышен пенсионный возраст для женщин – работниц текстильной промышленности</w:t>
      </w:r>
      <w:bookmarkEnd w:id="0"/>
      <w:r>
        <w:t xml:space="preserve">? </w:t>
      </w:r>
      <w:r>
        <w:br/>
        <w:t xml:space="preserve">Нет. В текстильной промышленности на работах с повышенной интенсивностью и тяжестью женщинам пенсионный возраст повышен не будет. </w:t>
      </w:r>
    </w:p>
    <w:sectPr w:rsidR="001A7B6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61789"/>
    <w:multiLevelType w:val="multilevel"/>
    <w:tmpl w:val="38A8149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B65"/>
    <w:rsid w:val="001A7B65"/>
    <w:rsid w:val="003C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2018-11-29T09:32:00Z</dcterms:created>
  <dcterms:modified xsi:type="dcterms:W3CDTF">2018-11-29T09:32:00Z</dcterms:modified>
  <dc:language>ru-RU</dc:language>
</cp:coreProperties>
</file>