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A08" w:rsidRPr="00993A08" w:rsidRDefault="00993A08" w:rsidP="00993A0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93A08">
        <w:rPr>
          <w:rFonts w:ascii="Times New Roman" w:eastAsia="Times New Roman" w:hAnsi="Times New Roman" w:cs="Times New Roman"/>
          <w:b/>
          <w:bCs/>
          <w:sz w:val="27"/>
          <w:szCs w:val="27"/>
          <w:lang w:eastAsia="ru-RU"/>
        </w:rPr>
        <w:fldChar w:fldCharType="begin"/>
      </w:r>
      <w:r w:rsidRPr="00993A08">
        <w:rPr>
          <w:rFonts w:ascii="Times New Roman" w:eastAsia="Times New Roman" w:hAnsi="Times New Roman" w:cs="Times New Roman"/>
          <w:b/>
          <w:bCs/>
          <w:sz w:val="27"/>
          <w:szCs w:val="27"/>
          <w:lang w:eastAsia="ru-RU"/>
        </w:rPr>
        <w:instrText xml:space="preserve"> HYPERLINK "http://www.pfrf.ru/grazdanam/pensionres/pens_zagran/%7E533" </w:instrText>
      </w:r>
      <w:r w:rsidRPr="00993A08">
        <w:rPr>
          <w:rFonts w:ascii="Times New Roman" w:eastAsia="Times New Roman" w:hAnsi="Times New Roman" w:cs="Times New Roman"/>
          <w:b/>
          <w:bCs/>
          <w:sz w:val="27"/>
          <w:szCs w:val="27"/>
          <w:lang w:eastAsia="ru-RU"/>
        </w:rPr>
        <w:fldChar w:fldCharType="separate"/>
      </w:r>
      <w:bookmarkStart w:id="0" w:name="_GoBack"/>
      <w:r w:rsidRPr="00993A08">
        <w:rPr>
          <w:rFonts w:ascii="Times New Roman" w:eastAsia="Times New Roman" w:hAnsi="Times New Roman" w:cs="Times New Roman"/>
          <w:b/>
          <w:bCs/>
          <w:color w:val="0000FF"/>
          <w:sz w:val="27"/>
          <w:szCs w:val="27"/>
          <w:u w:val="single"/>
          <w:lang w:eastAsia="ru-RU"/>
        </w:rPr>
        <w:t>Назначение и выплата пенсии на основании международных соглашений</w:t>
      </w:r>
      <w:bookmarkEnd w:id="0"/>
      <w:r w:rsidRPr="00993A08">
        <w:rPr>
          <w:rFonts w:ascii="Times New Roman" w:eastAsia="Times New Roman" w:hAnsi="Times New Roman" w:cs="Times New Roman"/>
          <w:b/>
          <w:bCs/>
          <w:color w:val="0000FF"/>
          <w:sz w:val="27"/>
          <w:szCs w:val="27"/>
          <w:u w:val="single"/>
          <w:lang w:eastAsia="ru-RU"/>
        </w:rPr>
        <w:t xml:space="preserve"> (договоров)</w:t>
      </w:r>
      <w:r w:rsidRPr="00993A08">
        <w:rPr>
          <w:rFonts w:ascii="Times New Roman" w:eastAsia="Times New Roman" w:hAnsi="Times New Roman" w:cs="Times New Roman"/>
          <w:b/>
          <w:bCs/>
          <w:sz w:val="27"/>
          <w:szCs w:val="27"/>
          <w:lang w:eastAsia="ru-RU"/>
        </w:rPr>
        <w:fldChar w:fldCharType="end"/>
      </w:r>
      <w:r w:rsidRPr="00993A08">
        <w:rPr>
          <w:rFonts w:ascii="Times New Roman" w:eastAsia="Times New Roman" w:hAnsi="Times New Roman" w:cs="Times New Roman"/>
          <w:b/>
          <w:bCs/>
          <w:sz w:val="27"/>
          <w:szCs w:val="27"/>
          <w:lang w:eastAsia="ru-RU"/>
        </w:rPr>
        <w:t xml:space="preserve">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В настоящее время у Российской Федерации действует 19 международных соглашений с 23 странами. Чтобы получать пенсию в рамках международных соглашений (договоров), следует обращаться в компетентный орган страны проживания.</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Международные соглашения, подписанные СССР</w:t>
      </w:r>
    </w:p>
    <w:tbl>
      <w:tblPr>
        <w:tblW w:w="150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1"/>
        <w:gridCol w:w="4961"/>
        <w:gridCol w:w="5078"/>
      </w:tblGrid>
      <w:tr w:rsidR="00993A08" w:rsidRPr="00993A08" w:rsidTr="00993A08">
        <w:trPr>
          <w:trHeight w:val="480"/>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Страна</w:t>
            </w:r>
          </w:p>
        </w:tc>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Название</w:t>
            </w:r>
          </w:p>
        </w:tc>
        <w:tc>
          <w:tcPr>
            <w:tcW w:w="327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Дата подписания</w:t>
            </w:r>
          </w:p>
        </w:tc>
      </w:tr>
      <w:tr w:rsidR="00993A08" w:rsidRPr="00993A08" w:rsidTr="00993A08">
        <w:trPr>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Чехословацкая Республика</w:t>
            </w:r>
          </w:p>
        </w:tc>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социальном обеспечении</w:t>
            </w:r>
          </w:p>
        </w:tc>
        <w:tc>
          <w:tcPr>
            <w:tcW w:w="327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 декабря 1959 года (в отношении Чешской Республики указанное Соглашение с 1 января 2009 года утратило силу по причине его денонсации чешской стороной в одностороннем порядке)</w:t>
            </w:r>
          </w:p>
        </w:tc>
      </w:tr>
      <w:tr w:rsidR="00993A08" w:rsidRPr="00993A08" w:rsidTr="00993A08">
        <w:trPr>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Румынская Народная Республика</w:t>
            </w:r>
          </w:p>
        </w:tc>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сотрудничестве в области социального обеспечения</w:t>
            </w:r>
          </w:p>
        </w:tc>
        <w:tc>
          <w:tcPr>
            <w:tcW w:w="327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24 декабря 1960 года</w:t>
            </w:r>
          </w:p>
        </w:tc>
      </w:tr>
      <w:tr w:rsidR="00993A08" w:rsidRPr="00993A08" w:rsidTr="00993A08">
        <w:trPr>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Венгерская Народная Республика</w:t>
            </w:r>
          </w:p>
        </w:tc>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сотрудничестве в области социального обеспечения</w:t>
            </w:r>
          </w:p>
        </w:tc>
        <w:tc>
          <w:tcPr>
            <w:tcW w:w="327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20 декабря 1962 года</w:t>
            </w:r>
          </w:p>
        </w:tc>
      </w:tr>
      <w:tr w:rsidR="00993A08" w:rsidRPr="00993A08" w:rsidTr="00993A08">
        <w:trPr>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Монгольская Народная Республика</w:t>
            </w:r>
          </w:p>
        </w:tc>
        <w:tc>
          <w:tcPr>
            <w:tcW w:w="319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сотрудничестве в области социального обеспечения</w:t>
            </w:r>
          </w:p>
        </w:tc>
        <w:tc>
          <w:tcPr>
            <w:tcW w:w="327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6 апреля 1981 года</w:t>
            </w:r>
          </w:p>
        </w:tc>
      </w:tr>
    </w:tbl>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Международные соглашения (договоры) в области пенсионного обеспечения, подписанные Россией, основанные на принципе территориальности</w:t>
      </w:r>
    </w:p>
    <w:tbl>
      <w:tblPr>
        <w:tblW w:w="150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3"/>
        <w:gridCol w:w="3919"/>
        <w:gridCol w:w="2799"/>
        <w:gridCol w:w="5039"/>
      </w:tblGrid>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Страна</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Название</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Дата подписания</w:t>
            </w:r>
          </w:p>
        </w:tc>
        <w:tc>
          <w:tcPr>
            <w:tcW w:w="324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Особенности</w:t>
            </w: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Армения,</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Беларусь, Казахстан, Кыргызстан, Таджикистан, Туркменистан, Узбекистан и Украина</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гарантиях прав граждан государств – участников СНГ в области пенсионного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13 марта 1992 года</w:t>
            </w:r>
          </w:p>
        </w:tc>
        <w:tc>
          <w:tcPr>
            <w:tcW w:w="3240" w:type="dxa"/>
            <w:vMerge w:val="restart"/>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xml:space="preserve">Пенсионное обеспечение граждан осуществляется по законодательству и за счет средств государства, на территории которого проживает гражданин. При этом учитывается трудовой стаж, приобретенный на территории одной и/или другой страны. При переселении с территории одной Договаривающейся Стороны на территорию другой Договаривающейся Стороны выплата назначенной пенсии может быть продолжена </w:t>
            </w:r>
            <w:proofErr w:type="gramStart"/>
            <w:r w:rsidRPr="00993A08">
              <w:rPr>
                <w:rFonts w:ascii="Times New Roman" w:eastAsia="Times New Roman" w:hAnsi="Times New Roman" w:cs="Times New Roman"/>
                <w:sz w:val="24"/>
                <w:szCs w:val="24"/>
                <w:lang w:eastAsia="ru-RU"/>
              </w:rPr>
              <w:t>в случае отсутствия права на нее по законодательству государства нового места жительства на период до даты</w:t>
            </w:r>
            <w:proofErr w:type="gramEnd"/>
            <w:r w:rsidRPr="00993A08">
              <w:rPr>
                <w:rFonts w:ascii="Times New Roman" w:eastAsia="Times New Roman" w:hAnsi="Times New Roman" w:cs="Times New Roman"/>
                <w:sz w:val="24"/>
                <w:szCs w:val="24"/>
                <w:lang w:eastAsia="ru-RU"/>
              </w:rPr>
              <w:t xml:space="preserve"> возникновения такого права.</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w:t>
            </w: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Молдавия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гарантиях прав граждан в области пенсионного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10 февраля 1995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Казахстан</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гарантиях пенсионных прав жителей г. Байконура Республики Казахстан</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27 апреля 1996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Грузия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гарантиях прав граждан в области пенсионного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16 мая 1997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Литва</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о пенсионном обеспечении</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29 июня 1999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bl>
    <w:p w:rsidR="00993A08" w:rsidRPr="00993A08" w:rsidRDefault="00993A08" w:rsidP="00993A08">
      <w:pPr>
        <w:spacing w:before="100" w:beforeAutospacing="1" w:after="100" w:afterAutospacing="1" w:line="240" w:lineRule="auto"/>
        <w:ind w:left="720"/>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Международные соглашения (договоры) в области пенсионного обеспечения, подписанные Россией, основанные на принципе пропорциональности</w:t>
      </w:r>
    </w:p>
    <w:tbl>
      <w:tblPr>
        <w:tblW w:w="150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3"/>
        <w:gridCol w:w="3919"/>
        <w:gridCol w:w="2799"/>
        <w:gridCol w:w="5039"/>
      </w:tblGrid>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Страна</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Название</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Дата подписания</w:t>
            </w:r>
          </w:p>
        </w:tc>
        <w:tc>
          <w:tcPr>
            <w:tcW w:w="324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Особенности</w:t>
            </w: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ind w:left="-17"/>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lastRenderedPageBreak/>
              <w:t>Украина</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Временное соглашение о гарантиях прав граждан, работавших в районах Крайнего Севера и местностях, приравненных к районам Крайнего Севера, в области пенсионного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15 января 1993 года</w:t>
            </w:r>
          </w:p>
        </w:tc>
        <w:tc>
          <w:tcPr>
            <w:tcW w:w="324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Граждане Стран, проработавшие в районах Крайнего Севера либо в приравненных к районам Крайнего Севера, независимо от места их постоянного проживания на территории обоих государств имеют право на досрочную пенсию по старости. Выплата российской пенсии гражданам, проживающим на территории Украины, производится до возникновения права на пенсионное обеспечение по законодательству Украины.</w:t>
            </w: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Испания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о социальном обеспечении</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11 апреля 1994 года</w:t>
            </w:r>
          </w:p>
        </w:tc>
        <w:tc>
          <w:tcPr>
            <w:tcW w:w="3240" w:type="dxa"/>
            <w:vMerge w:val="restart"/>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Предусматривают распределение расходов на выплату пенсий в зависимости от величины пенсионных прав, приобретенных гражданами на территории стран. В этом случае Россия отвечает только за стаж, приобретенный на ее территории.</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В отношениях с Белоруссией и Латвией  - с элементами территориальности в отношении стажа, приобретенного на территории СССР (за указанный стаж пенсия назначается государством проживания).</w:t>
            </w: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Белоруссия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о сотрудничестве в области социального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24 января 2006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Латвия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о сотрудничестве в области социального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18 декабря 2007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rHeight w:val="2385"/>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Болгария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о социальном обеспечении</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27 февраля 2009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rHeight w:val="2685"/>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Эстония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о сотрудничестве в области пенсионного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14 июля 2011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rHeight w:val="1065"/>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Израиль</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в области социального обеспечения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6 июня 2016 года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after="0" w:line="240" w:lineRule="auto"/>
              <w:rPr>
                <w:rFonts w:ascii="Times New Roman" w:eastAsia="Times New Roman" w:hAnsi="Times New Roman" w:cs="Times New Roman"/>
                <w:sz w:val="24"/>
                <w:szCs w:val="24"/>
                <w:lang w:eastAsia="ru-RU"/>
              </w:rPr>
            </w:pPr>
          </w:p>
        </w:tc>
      </w:tr>
      <w:tr w:rsidR="00993A08" w:rsidRPr="00993A08" w:rsidTr="00993A08">
        <w:trPr>
          <w:trHeight w:val="1065"/>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Чехия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Договор о социальном обеспечении</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8 декабря 2011 года</w:t>
            </w:r>
          </w:p>
        </w:tc>
        <w:tc>
          <w:tcPr>
            <w:tcW w:w="324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Стаж, приобретенный до 31.12.2008, учитывается по законодательству Договаривающейся Стороны, на территории которой постоянно проживал пенсионер на указанную дату, при условии, что продолжительность стажа на территории этой Договаривающейся Стороны составляет не менее 1 года. Стаж после 31.12.2008 учитывается Договаривающейся Стороной, на территории которой он был приобретен по ее законодательству</w:t>
            </w:r>
          </w:p>
        </w:tc>
      </w:tr>
      <w:tr w:rsidR="00993A08" w:rsidRPr="00993A08" w:rsidTr="00993A08">
        <w:trPr>
          <w:trHeight w:val="1065"/>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lastRenderedPageBreak/>
              <w:t>Абхазия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между Российской Федерацией и Республикой Абхазия о пенсионном обеспечении граждан Российской Федерации, постоянно проживающих в Республике Абхазия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14 апреля 2014 года</w:t>
            </w:r>
          </w:p>
        </w:tc>
        <w:tc>
          <w:tcPr>
            <w:tcW w:w="324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Пенсионное обеспечение граждан Российской Федерации, постоянно проживающих на территории Республики Абхазия и не имеющих регистрацию по месту жительства на территории Российской Федерации, осуществляется в соответствии с законодательством Российской Федерации.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За стаж, выработанный на территории Республики Абхазия после 01.01.2002, установление и выплата пенсии осуществляется в соответствии с законодательством Республики Абхазия.</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xml:space="preserve">Для указанной категории граждан, в зависимости от величины пенсионного обеспечения, устанавливается доплата к пенсии до среднего уровня в Южном федеральном округе, </w:t>
            </w:r>
            <w:proofErr w:type="gramStart"/>
            <w:r w:rsidRPr="00993A08">
              <w:rPr>
                <w:rFonts w:ascii="Times New Roman" w:eastAsia="Times New Roman" w:hAnsi="Times New Roman" w:cs="Times New Roman"/>
                <w:sz w:val="24"/>
                <w:szCs w:val="24"/>
                <w:lang w:eastAsia="ru-RU"/>
              </w:rPr>
              <w:t>равному</w:t>
            </w:r>
            <w:proofErr w:type="gramEnd"/>
            <w:r w:rsidRPr="00993A08">
              <w:rPr>
                <w:rFonts w:ascii="Times New Roman" w:eastAsia="Times New Roman" w:hAnsi="Times New Roman" w:cs="Times New Roman"/>
                <w:sz w:val="24"/>
                <w:szCs w:val="24"/>
                <w:lang w:eastAsia="ru-RU"/>
              </w:rPr>
              <w:t xml:space="preserve"> 10179,65 рублей.</w:t>
            </w:r>
          </w:p>
        </w:tc>
      </w:tr>
      <w:tr w:rsidR="00993A08" w:rsidRPr="00993A08" w:rsidTr="00993A08">
        <w:trPr>
          <w:trHeight w:val="1065"/>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Южная Осетия</w:t>
            </w:r>
          </w:p>
        </w:tc>
        <w:tc>
          <w:tcPr>
            <w:tcW w:w="252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Соглашение между Российской Федерацией и Республикой Южная Осетия о пенсионном обеспечении граждан Российской Федерации, постоянно проживающих в Республике Южная Осетия</w:t>
            </w:r>
          </w:p>
        </w:tc>
        <w:tc>
          <w:tcPr>
            <w:tcW w:w="180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25 ноября 2016 года</w:t>
            </w:r>
          </w:p>
        </w:tc>
        <w:tc>
          <w:tcPr>
            <w:tcW w:w="3240" w:type="dxa"/>
            <w:tcBorders>
              <w:top w:val="outset" w:sz="6" w:space="0" w:color="auto"/>
              <w:left w:val="outset" w:sz="6" w:space="0" w:color="auto"/>
              <w:bottom w:val="outset" w:sz="6" w:space="0" w:color="auto"/>
              <w:right w:val="outset" w:sz="6" w:space="0" w:color="auto"/>
            </w:tcBorders>
            <w:vAlign w:val="center"/>
            <w:hideMark/>
          </w:tcPr>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Пенсионное обеспечение граждан Российской Федерации, постоянно проживающих на территории Республики Южная Осетия и не имеющих регистрацию по месту жительства на территории Российской Федерации, осуществляется в соответствии с законодательством Российской Федерации.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За стаж, выработанный на территории Республики Южная Осетия после 01.01.2002, установление и выплата пенсии осуществляется в соответствии с законодательством Республики Южная Осетия.</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xml:space="preserve">Для указанной категории граждан, в зависимости от величины пенсионного обеспечения, устанавливается доплата к пенсии до среднего уровня в Северо-Кавказском федеральном округе, </w:t>
            </w:r>
            <w:proofErr w:type="gramStart"/>
            <w:r w:rsidRPr="00993A08">
              <w:rPr>
                <w:rFonts w:ascii="Times New Roman" w:eastAsia="Times New Roman" w:hAnsi="Times New Roman" w:cs="Times New Roman"/>
                <w:sz w:val="24"/>
                <w:szCs w:val="24"/>
                <w:lang w:eastAsia="ru-RU"/>
              </w:rPr>
              <w:t>равному</w:t>
            </w:r>
            <w:proofErr w:type="gramEnd"/>
            <w:r w:rsidRPr="00993A08">
              <w:rPr>
                <w:rFonts w:ascii="Times New Roman" w:eastAsia="Times New Roman" w:hAnsi="Times New Roman" w:cs="Times New Roman"/>
                <w:sz w:val="24"/>
                <w:szCs w:val="24"/>
                <w:lang w:eastAsia="ru-RU"/>
              </w:rPr>
              <w:t xml:space="preserve"> 10410,7 рублей.</w:t>
            </w:r>
          </w:p>
        </w:tc>
      </w:tr>
    </w:tbl>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 xml:space="preserve">Дополнение по Латвии </w:t>
      </w:r>
    </w:p>
    <w:p w:rsidR="00993A08" w:rsidRPr="00993A08" w:rsidRDefault="00993A08" w:rsidP="00993A08">
      <w:pPr>
        <w:spacing w:after="7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2382520" cy="1757680"/>
            <wp:effectExtent l="0" t="0" r="0" b="0"/>
            <wp:docPr id="2" name="Рисунок 2" descr="http://www.pfrf.ru/files/id/press_center/pr/liflet/2018/22.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press_center/pr/liflet/2018/22.jp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2520" cy="1757680"/>
                    </a:xfrm>
                    <a:prstGeom prst="rect">
                      <a:avLst/>
                    </a:prstGeom>
                    <a:noFill/>
                    <a:ln>
                      <a:noFill/>
                    </a:ln>
                  </pic:spPr>
                </pic:pic>
              </a:graphicData>
            </a:graphic>
          </wp:inline>
        </w:drawing>
      </w:r>
      <w:r w:rsidRPr="00993A08">
        <w:rPr>
          <w:rFonts w:ascii="Times New Roman" w:eastAsia="Times New Roman" w:hAnsi="Times New Roman" w:cs="Times New Roman"/>
          <w:sz w:val="24"/>
          <w:szCs w:val="24"/>
          <w:lang w:eastAsia="ru-RU"/>
        </w:rPr>
        <w:br/>
      </w:r>
      <w:hyperlink r:id="rId7" w:tgtFrame="_blank" w:history="1">
        <w:r w:rsidRPr="00993A08">
          <w:rPr>
            <w:rFonts w:ascii="Times New Roman" w:eastAsia="Times New Roman" w:hAnsi="Times New Roman" w:cs="Times New Roman"/>
            <w:color w:val="0000FF"/>
            <w:sz w:val="24"/>
            <w:szCs w:val="24"/>
            <w:u w:val="single"/>
            <w:lang w:eastAsia="ru-RU"/>
          </w:rPr>
          <w:t xml:space="preserve">скачать </w:t>
        </w:r>
        <w:proofErr w:type="spellStart"/>
        <w:r w:rsidRPr="00993A08">
          <w:rPr>
            <w:rFonts w:ascii="Times New Roman" w:eastAsia="Times New Roman" w:hAnsi="Times New Roman" w:cs="Times New Roman"/>
            <w:color w:val="0000FF"/>
            <w:sz w:val="24"/>
            <w:szCs w:val="24"/>
            <w:u w:val="single"/>
            <w:lang w:eastAsia="ru-RU"/>
          </w:rPr>
          <w:t>лифлет</w:t>
        </w:r>
        <w:proofErr w:type="spellEnd"/>
      </w:hyperlink>
      <w:r w:rsidRPr="00993A08">
        <w:rPr>
          <w:rFonts w:ascii="Times New Roman" w:eastAsia="Times New Roman" w:hAnsi="Times New Roman" w:cs="Times New Roman"/>
          <w:sz w:val="24"/>
          <w:szCs w:val="24"/>
          <w:lang w:eastAsia="ru-RU"/>
        </w:rPr>
        <w:t> (382 Кб)</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 xml:space="preserve">Назначение пенсии российскому пенсионеру, проживающему в Латвии, может производиться по следующим вариантам: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 xml:space="preserve">Вариант 1: </w:t>
      </w:r>
      <w:r w:rsidRPr="00993A08">
        <w:rPr>
          <w:rFonts w:ascii="Times New Roman" w:eastAsia="Times New Roman" w:hAnsi="Times New Roman" w:cs="Times New Roman"/>
          <w:sz w:val="24"/>
          <w:szCs w:val="24"/>
          <w:lang w:eastAsia="ru-RU"/>
        </w:rPr>
        <w:t>за периоды страхового (трудового) стажа, приобретенного до 1 января 1991 года, пенсию назначает страна проживания гражданина. За периоды после 1 января 1991 года, каждая страна назначает пенсию за стаж, приобретенный на ее территории (Россия назначает пенсию за стаж, выработанный на территории Российской Федерации, а Латвия – за стаж, выработанный на ее территории);</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Вариант 2</w:t>
      </w:r>
      <w:r w:rsidRPr="00993A08">
        <w:rPr>
          <w:rFonts w:ascii="Times New Roman" w:eastAsia="Times New Roman" w:hAnsi="Times New Roman" w:cs="Times New Roman"/>
          <w:sz w:val="24"/>
          <w:szCs w:val="24"/>
          <w:lang w:eastAsia="ru-RU"/>
        </w:rPr>
        <w:t>: по законодательству страны, гражданином которой является пенсионер. В этом случае пенсия гражданину Российской Федерации назначается по российскому законодательству, а гражданину Латвийской Республики – по латвийскому законодательству, независимо от места проживания. Такой выбор является окончательным и пересмотру не подлежит.</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sz w:val="24"/>
          <w:szCs w:val="24"/>
          <w:lang w:eastAsia="ru-RU"/>
        </w:rPr>
        <w:t> </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 xml:space="preserve">Дополнение по Белоруссии </w:t>
      </w:r>
    </w:p>
    <w:p w:rsidR="00993A08" w:rsidRPr="00993A08" w:rsidRDefault="00993A08" w:rsidP="00993A08">
      <w:pPr>
        <w:spacing w:after="7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2382520" cy="1757680"/>
            <wp:effectExtent l="0" t="0" r="0" b="0"/>
            <wp:docPr id="1" name="Рисунок 1" descr="http://www.pfrf.ru/files/id/press_center/pr/liflet/2018/20.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frf.ru/files/id/press_center/pr/liflet/2018/20.jpg">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2520" cy="1757680"/>
                    </a:xfrm>
                    <a:prstGeom prst="rect">
                      <a:avLst/>
                    </a:prstGeom>
                    <a:noFill/>
                    <a:ln>
                      <a:noFill/>
                    </a:ln>
                  </pic:spPr>
                </pic:pic>
              </a:graphicData>
            </a:graphic>
          </wp:inline>
        </w:drawing>
      </w:r>
      <w:r w:rsidRPr="00993A08">
        <w:rPr>
          <w:rFonts w:ascii="Times New Roman" w:eastAsia="Times New Roman" w:hAnsi="Times New Roman" w:cs="Times New Roman"/>
          <w:sz w:val="24"/>
          <w:szCs w:val="24"/>
          <w:lang w:eastAsia="ru-RU"/>
        </w:rPr>
        <w:br/>
      </w:r>
      <w:hyperlink r:id="rId10" w:tgtFrame="_blank" w:history="1">
        <w:r w:rsidRPr="00993A08">
          <w:rPr>
            <w:rFonts w:ascii="Times New Roman" w:eastAsia="Times New Roman" w:hAnsi="Times New Roman" w:cs="Times New Roman"/>
            <w:color w:val="0000FF"/>
            <w:sz w:val="24"/>
            <w:szCs w:val="24"/>
            <w:u w:val="single"/>
            <w:lang w:eastAsia="ru-RU"/>
          </w:rPr>
          <w:t xml:space="preserve">скачать </w:t>
        </w:r>
        <w:proofErr w:type="spellStart"/>
        <w:r w:rsidRPr="00993A08">
          <w:rPr>
            <w:rFonts w:ascii="Times New Roman" w:eastAsia="Times New Roman" w:hAnsi="Times New Roman" w:cs="Times New Roman"/>
            <w:color w:val="0000FF"/>
            <w:sz w:val="24"/>
            <w:szCs w:val="24"/>
            <w:u w:val="single"/>
            <w:lang w:eastAsia="ru-RU"/>
          </w:rPr>
          <w:t>лифлет</w:t>
        </w:r>
        <w:proofErr w:type="spellEnd"/>
      </w:hyperlink>
      <w:r w:rsidRPr="00993A08">
        <w:rPr>
          <w:rFonts w:ascii="Times New Roman" w:eastAsia="Times New Roman" w:hAnsi="Times New Roman" w:cs="Times New Roman"/>
          <w:sz w:val="24"/>
          <w:szCs w:val="24"/>
          <w:lang w:eastAsia="ru-RU"/>
        </w:rPr>
        <w:t> (382 Кб)</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Назначение пенсии российскому пенсионеру, проживающему в Белоруссии, может производиться по следующим вариантам:</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 xml:space="preserve">ВАРИАНТ 1: </w:t>
      </w:r>
      <w:r w:rsidRPr="00993A08">
        <w:rPr>
          <w:rFonts w:ascii="Times New Roman" w:eastAsia="Times New Roman" w:hAnsi="Times New Roman" w:cs="Times New Roman"/>
          <w:sz w:val="24"/>
          <w:szCs w:val="24"/>
          <w:lang w:eastAsia="ru-RU"/>
        </w:rPr>
        <w:t>назначение и выплата российской пенсии за периоды стажа, приобретенного до 13 марта 1992 года на территории бывшего СССР, осуществляется по законодательству и за счет сре</w:t>
      </w:r>
      <w:proofErr w:type="gramStart"/>
      <w:r w:rsidRPr="00993A08">
        <w:rPr>
          <w:rFonts w:ascii="Times New Roman" w:eastAsia="Times New Roman" w:hAnsi="Times New Roman" w:cs="Times New Roman"/>
          <w:sz w:val="24"/>
          <w:szCs w:val="24"/>
          <w:lang w:eastAsia="ru-RU"/>
        </w:rPr>
        <w:t>дств стр</w:t>
      </w:r>
      <w:proofErr w:type="gramEnd"/>
      <w:r w:rsidRPr="00993A08">
        <w:rPr>
          <w:rFonts w:ascii="Times New Roman" w:eastAsia="Times New Roman" w:hAnsi="Times New Roman" w:cs="Times New Roman"/>
          <w:sz w:val="24"/>
          <w:szCs w:val="24"/>
          <w:lang w:eastAsia="ru-RU"/>
        </w:rPr>
        <w:t>аны проживания. А за периоды стажа, приобретенного после этой даты на территориях этих стран, – по законодательству и за счет сре</w:t>
      </w:r>
      <w:proofErr w:type="gramStart"/>
      <w:r w:rsidRPr="00993A08">
        <w:rPr>
          <w:rFonts w:ascii="Times New Roman" w:eastAsia="Times New Roman" w:hAnsi="Times New Roman" w:cs="Times New Roman"/>
          <w:sz w:val="24"/>
          <w:szCs w:val="24"/>
          <w:lang w:eastAsia="ru-RU"/>
        </w:rPr>
        <w:t>дств стр</w:t>
      </w:r>
      <w:proofErr w:type="gramEnd"/>
      <w:r w:rsidRPr="00993A08">
        <w:rPr>
          <w:rFonts w:ascii="Times New Roman" w:eastAsia="Times New Roman" w:hAnsi="Times New Roman" w:cs="Times New Roman"/>
          <w:sz w:val="24"/>
          <w:szCs w:val="24"/>
          <w:lang w:eastAsia="ru-RU"/>
        </w:rPr>
        <w:t>аны, на территории которой этот стаж приобретен;</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lastRenderedPageBreak/>
        <w:t xml:space="preserve">ВАРИАНТ 2: </w:t>
      </w:r>
      <w:r w:rsidRPr="00993A08">
        <w:rPr>
          <w:rFonts w:ascii="Times New Roman" w:eastAsia="Times New Roman" w:hAnsi="Times New Roman" w:cs="Times New Roman"/>
          <w:sz w:val="24"/>
          <w:szCs w:val="24"/>
          <w:lang w:eastAsia="ru-RU"/>
        </w:rPr>
        <w:t>по желанию и на основании заявления гражданина может назначаться и выплачиваться пенсия согласно законодательству страны, гражданином которой он является, без применения положений настоящего Договора. Такой выбор является окончательным и пересмотру не подлежит;</w:t>
      </w:r>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93A08">
        <w:rPr>
          <w:rFonts w:ascii="Times New Roman" w:eastAsia="Times New Roman" w:hAnsi="Times New Roman" w:cs="Times New Roman"/>
          <w:b/>
          <w:bCs/>
          <w:sz w:val="24"/>
          <w:szCs w:val="24"/>
          <w:lang w:eastAsia="ru-RU"/>
        </w:rPr>
        <w:t xml:space="preserve">ВАРИАНТ 3: </w:t>
      </w:r>
      <w:r w:rsidRPr="00993A08">
        <w:rPr>
          <w:rFonts w:ascii="Times New Roman" w:eastAsia="Times New Roman" w:hAnsi="Times New Roman" w:cs="Times New Roman"/>
          <w:sz w:val="24"/>
          <w:szCs w:val="24"/>
          <w:lang w:eastAsia="ru-RU"/>
        </w:rPr>
        <w:t>при переселении с территории одной Договаривающейся Стороны на территорию другой Договаривающейся Стороны, если законодательство страны по новому месту жительства не определяет право пенсионера на пенсию, то выплачивать пенсию продолжает страна по прежнему месту жительства до приобретения гражданином права на пенсию, в том числе пенсию другого вида, согласно законодательству страны по новому месту жительства пенсионера.</w:t>
      </w:r>
      <w:proofErr w:type="gramEnd"/>
    </w:p>
    <w:p w:rsidR="00993A08" w:rsidRPr="00993A08" w:rsidRDefault="00993A08" w:rsidP="00993A08">
      <w:pPr>
        <w:spacing w:before="100" w:beforeAutospacing="1" w:after="100" w:afterAutospacing="1" w:line="240" w:lineRule="auto"/>
        <w:rPr>
          <w:rFonts w:ascii="Times New Roman" w:eastAsia="Times New Roman" w:hAnsi="Times New Roman" w:cs="Times New Roman"/>
          <w:sz w:val="24"/>
          <w:szCs w:val="24"/>
          <w:lang w:eastAsia="ru-RU"/>
        </w:rPr>
      </w:pPr>
      <w:r w:rsidRPr="00993A08">
        <w:rPr>
          <w:rFonts w:ascii="Times New Roman" w:eastAsia="Times New Roman" w:hAnsi="Times New Roman" w:cs="Times New Roman"/>
          <w:b/>
          <w:bCs/>
          <w:sz w:val="24"/>
          <w:szCs w:val="24"/>
          <w:lang w:eastAsia="ru-RU"/>
        </w:rPr>
        <w:t xml:space="preserve">ВАРИАНТ 4: </w:t>
      </w:r>
      <w:r w:rsidRPr="00993A08">
        <w:rPr>
          <w:rFonts w:ascii="Times New Roman" w:eastAsia="Times New Roman" w:hAnsi="Times New Roman" w:cs="Times New Roman"/>
          <w:sz w:val="24"/>
          <w:szCs w:val="24"/>
          <w:lang w:eastAsia="ru-RU"/>
        </w:rPr>
        <w:t>при переезде из одной страны в другую пенсионера, имеющего стаж продолжительностью не менее 25 лет (для мужчин) или не менее 20 лет (для женщин), полностью выработанный на территории одной из стран (в том числе в период СССР), выплату пенсии может продолжить страна, назначившая пенсию. При этом нормы Договора не применяются. Такой выбор является окончательным и пересмотру не подлежит.</w:t>
      </w:r>
    </w:p>
    <w:p w:rsidR="00D7526B" w:rsidRDefault="00D7526B"/>
    <w:sectPr w:rsidR="00D752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751"/>
    <w:rsid w:val="00287751"/>
    <w:rsid w:val="00993A08"/>
    <w:rsid w:val="00D752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993A0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93A0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993A08"/>
    <w:rPr>
      <w:color w:val="0000FF"/>
      <w:u w:val="single"/>
    </w:rPr>
  </w:style>
  <w:style w:type="paragraph" w:styleId="a4">
    <w:name w:val="Normal (Web)"/>
    <w:basedOn w:val="a"/>
    <w:uiPriority w:val="99"/>
    <w:unhideWhenUsed/>
    <w:rsid w:val="00993A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993A08"/>
  </w:style>
  <w:style w:type="character" w:styleId="a5">
    <w:name w:val="Strong"/>
    <w:basedOn w:val="a0"/>
    <w:uiPriority w:val="22"/>
    <w:qFormat/>
    <w:rsid w:val="00993A08"/>
    <w:rPr>
      <w:b/>
      <w:bCs/>
    </w:rPr>
  </w:style>
  <w:style w:type="paragraph" w:styleId="a6">
    <w:name w:val="Balloon Text"/>
    <w:basedOn w:val="a"/>
    <w:link w:val="a7"/>
    <w:uiPriority w:val="99"/>
    <w:semiHidden/>
    <w:unhideWhenUsed/>
    <w:rsid w:val="00993A0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93A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993A0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93A0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993A08"/>
    <w:rPr>
      <w:color w:val="0000FF"/>
      <w:u w:val="single"/>
    </w:rPr>
  </w:style>
  <w:style w:type="paragraph" w:styleId="a4">
    <w:name w:val="Normal (Web)"/>
    <w:basedOn w:val="a"/>
    <w:uiPriority w:val="99"/>
    <w:unhideWhenUsed/>
    <w:rsid w:val="00993A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993A08"/>
  </w:style>
  <w:style w:type="character" w:styleId="a5">
    <w:name w:val="Strong"/>
    <w:basedOn w:val="a0"/>
    <w:uiPriority w:val="22"/>
    <w:qFormat/>
    <w:rsid w:val="00993A08"/>
    <w:rPr>
      <w:b/>
      <w:bCs/>
    </w:rPr>
  </w:style>
  <w:style w:type="paragraph" w:styleId="a6">
    <w:name w:val="Balloon Text"/>
    <w:basedOn w:val="a"/>
    <w:link w:val="a7"/>
    <w:uiPriority w:val="99"/>
    <w:semiHidden/>
    <w:unhideWhenUsed/>
    <w:rsid w:val="00993A0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93A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971743">
      <w:bodyDiv w:val="1"/>
      <w:marLeft w:val="0"/>
      <w:marRight w:val="0"/>
      <w:marTop w:val="0"/>
      <w:marBottom w:val="0"/>
      <w:divBdr>
        <w:top w:val="none" w:sz="0" w:space="0" w:color="auto"/>
        <w:left w:val="none" w:sz="0" w:space="0" w:color="auto"/>
        <w:bottom w:val="none" w:sz="0" w:space="0" w:color="auto"/>
        <w:right w:val="none" w:sz="0" w:space="0" w:color="auto"/>
      </w:divBdr>
      <w:divsChild>
        <w:div w:id="1137919644">
          <w:marLeft w:val="0"/>
          <w:marRight w:val="0"/>
          <w:marTop w:val="0"/>
          <w:marBottom w:val="0"/>
          <w:divBdr>
            <w:top w:val="none" w:sz="0" w:space="0" w:color="auto"/>
            <w:left w:val="none" w:sz="0" w:space="0" w:color="auto"/>
            <w:bottom w:val="none" w:sz="0" w:space="0" w:color="auto"/>
            <w:right w:val="none" w:sz="0" w:space="0" w:color="auto"/>
          </w:divBdr>
          <w:divsChild>
            <w:div w:id="1293706952">
              <w:marLeft w:val="75"/>
              <w:marRight w:val="75"/>
              <w:marTop w:val="75"/>
              <w:marBottom w:val="75"/>
              <w:divBdr>
                <w:top w:val="none" w:sz="0" w:space="0" w:color="auto"/>
                <w:left w:val="none" w:sz="0" w:space="0" w:color="auto"/>
                <w:bottom w:val="none" w:sz="0" w:space="0" w:color="auto"/>
                <w:right w:val="none" w:sz="0" w:space="0" w:color="auto"/>
              </w:divBdr>
            </w:div>
            <w:div w:id="57901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files/id/press_center/pr/liflet/2018/Pensiya_dlya_Rossiyan%2C_projivayuschih_v_Respublike_Belarus.pdf" TargetMode="External"/><Relationship Id="rId3" Type="http://schemas.openxmlformats.org/officeDocument/2006/relationships/settings" Target="settings.xml"/><Relationship Id="rId7" Type="http://schemas.openxmlformats.org/officeDocument/2006/relationships/hyperlink" Target="http://www.pfrf.ru/files/id/press_center/pr/liflet/2018/Pensiya_dlya_Rossiyan%2C_projivayuschih_v_Latvii.pdf"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pfrf.ru/files/id/press_center/pr/liflet/2018/Pensiya_dlya_Rossiyan%2C_projivayuschih_v_Latvii.pdf" TargetMode="External"/><Relationship Id="rId10" Type="http://schemas.openxmlformats.org/officeDocument/2006/relationships/hyperlink" Target="http://www.pfrf.ru/files/id/press_center/pr/liflet/2018/Pensiya_dlya_Rossiyan%2C_projivayuschih_v_Respublike_Belarus.pdf"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7576</Characters>
  <Application>Microsoft Office Word</Application>
  <DocSecurity>0</DocSecurity>
  <Lines>63</Lines>
  <Paragraphs>17</Paragraphs>
  <ScaleCrop>false</ScaleCrop>
  <Company/>
  <LinksUpToDate>false</LinksUpToDate>
  <CharactersWithSpaces>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2018-09-25T06:36:00Z</dcterms:created>
  <dcterms:modified xsi:type="dcterms:W3CDTF">2018-09-25T06:37:00Z</dcterms:modified>
</cp:coreProperties>
</file>