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658" w:rsidRDefault="00B667BF">
      <w:bookmarkStart w:id="0" w:name="_GoBack"/>
      <w:bookmarkEnd w:id="0"/>
      <w:r>
        <w:t>Вопрос-ответ</w:t>
      </w:r>
    </w:p>
    <w:p w:rsidR="00B667BF" w:rsidRDefault="00B667BF"/>
    <w:p w:rsidR="00B667BF" w:rsidRPr="00B667BF" w:rsidRDefault="00B667BF" w:rsidP="00B667BF">
      <w:pPr>
        <w:pStyle w:val="a3"/>
        <w:spacing w:after="0"/>
        <w:rPr>
          <w:b/>
        </w:rPr>
      </w:pPr>
      <w:r w:rsidRPr="00B667BF">
        <w:rPr>
          <w:rStyle w:val="a4"/>
          <w:b w:val="0"/>
        </w:rPr>
        <w:t>Инвалиду какой группы положена ежемесячная денежная выплата по линии Пенсионного фонда?</w:t>
      </w:r>
    </w:p>
    <w:p w:rsidR="00B667BF" w:rsidRDefault="00B667BF" w:rsidP="00B667BF">
      <w:pPr>
        <w:pStyle w:val="a3"/>
      </w:pPr>
      <w:r>
        <w:t>В компетенцию органов Пенсионного фонда России входят функции по ведению Федерального регистра лиц, имеющих право на получение государственной социальной помощи, и по осуществлению ЕДВ (ежемесячной денежной выплаты) на уровне Российской Федерации (для так называемых «федеральных» льготников). К этой категории относятся инвалиды и участники войны, ветераны боевых действий, лица, признанные в установленном порядке инвалидами 1,2 и 3 группы, лица, пострадавшие в результате радиационных и техногенных катастроф, и некоторые другие категории. Размер ЕДВ для лиц, признанных инвалидами, зависит от установленной группы инвалидности. За назначением ежемесячной денежной выплаты при установлении группы инвалидности необходимо обращаться в территориальное управление ПФР, так как она носит заявительный характер.</w:t>
      </w:r>
    </w:p>
    <w:p w:rsidR="00B667BF" w:rsidRDefault="00B667BF"/>
    <w:sectPr w:rsidR="00B667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CE4"/>
    <w:rsid w:val="001D4658"/>
    <w:rsid w:val="004F4C75"/>
    <w:rsid w:val="00B667BF"/>
    <w:rsid w:val="00C3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67B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67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67B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67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5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2018-06-08T12:29:00Z</dcterms:created>
  <dcterms:modified xsi:type="dcterms:W3CDTF">2018-06-08T12:29:00Z</dcterms:modified>
</cp:coreProperties>
</file>