
<file path=[Content_Types].xml><?xml version="1.0" encoding="utf-8"?>
<Types xmlns="http://schemas.openxmlformats.org/package/2006/content-types">
  <Default Extension="bin" ContentType="application/vnd.ms-office.activeX"/>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A2E" w:rsidRPr="00992A2E" w:rsidRDefault="00992A2E" w:rsidP="00992A2E">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992A2E">
        <w:rPr>
          <w:rFonts w:ascii="Times New Roman" w:eastAsia="Times New Roman" w:hAnsi="Times New Roman" w:cs="Times New Roman"/>
          <w:b/>
          <w:bCs/>
          <w:kern w:val="36"/>
          <w:sz w:val="48"/>
          <w:szCs w:val="48"/>
          <w:lang w:eastAsia="ru-RU"/>
        </w:rPr>
        <w:t>Как формируется и рассчитывается будущая пенсия</w:t>
      </w:r>
    </w:p>
    <w:bookmarkEnd w:id="0"/>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xml:space="preserve">В системе обязательного пенсионного страхования у работающих граждан формируются страховые пенсии и пенсионные накопления. Страховые пенсии бывают трех видов: </w:t>
      </w:r>
      <w:hyperlink r:id="rId6" w:history="1">
        <w:r w:rsidRPr="00992A2E">
          <w:rPr>
            <w:rFonts w:ascii="Times New Roman" w:eastAsia="Times New Roman" w:hAnsi="Times New Roman" w:cs="Times New Roman"/>
            <w:color w:val="0000FF"/>
            <w:sz w:val="24"/>
            <w:szCs w:val="24"/>
            <w:u w:val="single"/>
            <w:lang w:eastAsia="ru-RU"/>
          </w:rPr>
          <w:t>по старости</w:t>
        </w:r>
      </w:hyperlink>
      <w:r w:rsidRPr="00992A2E">
        <w:rPr>
          <w:rFonts w:ascii="Times New Roman" w:eastAsia="Times New Roman" w:hAnsi="Times New Roman" w:cs="Times New Roman"/>
          <w:sz w:val="24"/>
          <w:szCs w:val="24"/>
          <w:lang w:eastAsia="ru-RU"/>
        </w:rPr>
        <w:t xml:space="preserve">, </w:t>
      </w:r>
      <w:hyperlink r:id="rId7" w:history="1">
        <w:r w:rsidRPr="00992A2E">
          <w:rPr>
            <w:rFonts w:ascii="Times New Roman" w:eastAsia="Times New Roman" w:hAnsi="Times New Roman" w:cs="Times New Roman"/>
            <w:color w:val="0000FF"/>
            <w:sz w:val="24"/>
            <w:szCs w:val="24"/>
            <w:u w:val="single"/>
            <w:lang w:eastAsia="ru-RU"/>
          </w:rPr>
          <w:t>по инвалидности</w:t>
        </w:r>
      </w:hyperlink>
      <w:r w:rsidRPr="00992A2E">
        <w:rPr>
          <w:rFonts w:ascii="Times New Roman" w:eastAsia="Times New Roman" w:hAnsi="Times New Roman" w:cs="Times New Roman"/>
          <w:sz w:val="24"/>
          <w:szCs w:val="24"/>
          <w:lang w:eastAsia="ru-RU"/>
        </w:rPr>
        <w:t xml:space="preserve">, </w:t>
      </w:r>
      <w:hyperlink r:id="rId8" w:history="1">
        <w:r w:rsidRPr="00992A2E">
          <w:rPr>
            <w:rFonts w:ascii="Times New Roman" w:eastAsia="Times New Roman" w:hAnsi="Times New Roman" w:cs="Times New Roman"/>
            <w:color w:val="0000FF"/>
            <w:sz w:val="24"/>
            <w:szCs w:val="24"/>
            <w:u w:val="single"/>
            <w:lang w:eastAsia="ru-RU"/>
          </w:rPr>
          <w:t>по случаю потери кормильца</w:t>
        </w:r>
      </w:hyperlink>
      <w:r w:rsidRPr="00992A2E">
        <w:rPr>
          <w:rFonts w:ascii="Times New Roman" w:eastAsia="Times New Roman" w:hAnsi="Times New Roman" w:cs="Times New Roman"/>
          <w:sz w:val="24"/>
          <w:szCs w:val="24"/>
          <w:lang w:eastAsia="ru-RU"/>
        </w:rPr>
        <w:t>. Выплаты из средств пенсионных накоплений назначаются и выплачиваются в виде </w:t>
      </w:r>
      <w:hyperlink r:id="rId9" w:history="1">
        <w:r w:rsidRPr="00992A2E">
          <w:rPr>
            <w:rFonts w:ascii="Times New Roman" w:eastAsia="Times New Roman" w:hAnsi="Times New Roman" w:cs="Times New Roman"/>
            <w:color w:val="0000FF"/>
            <w:sz w:val="24"/>
            <w:szCs w:val="24"/>
            <w:u w:val="single"/>
            <w:lang w:eastAsia="ru-RU"/>
          </w:rPr>
          <w:t>срочной</w:t>
        </w:r>
      </w:hyperlink>
      <w:r w:rsidRPr="00992A2E">
        <w:rPr>
          <w:rFonts w:ascii="Times New Roman" w:eastAsia="Times New Roman" w:hAnsi="Times New Roman" w:cs="Times New Roman"/>
          <w:sz w:val="24"/>
          <w:szCs w:val="24"/>
          <w:lang w:eastAsia="ru-RU"/>
        </w:rPr>
        <w:t xml:space="preserve"> или </w:t>
      </w:r>
      <w:hyperlink r:id="rId10" w:history="1">
        <w:r w:rsidRPr="00992A2E">
          <w:rPr>
            <w:rFonts w:ascii="Times New Roman" w:eastAsia="Times New Roman" w:hAnsi="Times New Roman" w:cs="Times New Roman"/>
            <w:color w:val="0000FF"/>
            <w:sz w:val="24"/>
            <w:szCs w:val="24"/>
            <w:u w:val="single"/>
            <w:lang w:eastAsia="ru-RU"/>
          </w:rPr>
          <w:t>единовременной</w:t>
        </w:r>
      </w:hyperlink>
      <w:r w:rsidRPr="00992A2E">
        <w:rPr>
          <w:rFonts w:ascii="Times New Roman" w:eastAsia="Times New Roman" w:hAnsi="Times New Roman" w:cs="Times New Roman"/>
          <w:sz w:val="24"/>
          <w:szCs w:val="24"/>
          <w:lang w:eastAsia="ru-RU"/>
        </w:rPr>
        <w:t xml:space="preserve"> пенсионной выплаты либо </w:t>
      </w:r>
      <w:hyperlink r:id="rId11" w:history="1">
        <w:r w:rsidRPr="00992A2E">
          <w:rPr>
            <w:rFonts w:ascii="Times New Roman" w:eastAsia="Times New Roman" w:hAnsi="Times New Roman" w:cs="Times New Roman"/>
            <w:color w:val="0000FF"/>
            <w:sz w:val="24"/>
            <w:szCs w:val="24"/>
            <w:u w:val="single"/>
            <w:lang w:eastAsia="ru-RU"/>
          </w:rPr>
          <w:t>накопительной пенсии</w:t>
        </w:r>
      </w:hyperlink>
      <w:r w:rsidRPr="00992A2E">
        <w:rPr>
          <w:rFonts w:ascii="Times New Roman" w:eastAsia="Times New Roman" w:hAnsi="Times New Roman" w:cs="Times New Roman"/>
          <w:sz w:val="24"/>
          <w:szCs w:val="24"/>
          <w:lang w:eastAsia="ru-RU"/>
        </w:rPr>
        <w:t>.</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Arial" w:eastAsia="Times New Roman" w:hAnsi="Arial" w:cs="Arial"/>
          <w:color w:val="000000"/>
          <w:sz w:val="21"/>
          <w:szCs w:val="21"/>
          <w:lang w:eastAsia="ru-RU"/>
        </w:rPr>
        <w:t>Пенсионные права граждан формируются в индивидуальных пенсионных коэффициентах, или пенсионных баллах. Все ранее сформированные пенсионные права были конвертированы без уменьшения в пенсионные баллы и учитываются при назначении страховой пенсии.</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Условиями возникновения права на страховую пенсию по старости на общих условиях являются:</w:t>
      </w:r>
    </w:p>
    <w:p w:rsidR="00992A2E" w:rsidRPr="00992A2E" w:rsidRDefault="00992A2E" w:rsidP="00992A2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i/>
          <w:iCs/>
          <w:sz w:val="24"/>
          <w:szCs w:val="24"/>
          <w:lang w:eastAsia="ru-RU"/>
        </w:rPr>
        <w:t xml:space="preserve">достижение возраста 60 лет – для мужчин, 55 лет – для </w:t>
      </w:r>
      <w:proofErr w:type="spellStart"/>
      <w:r w:rsidRPr="00992A2E">
        <w:rPr>
          <w:rFonts w:ascii="Times New Roman" w:eastAsia="Times New Roman" w:hAnsi="Times New Roman" w:cs="Times New Roman"/>
          <w:i/>
          <w:iCs/>
          <w:sz w:val="24"/>
          <w:szCs w:val="24"/>
          <w:lang w:eastAsia="ru-RU"/>
        </w:rPr>
        <w:t>женщин</w:t>
      </w:r>
      <w:proofErr w:type="gramStart"/>
      <w:r w:rsidRPr="00992A2E">
        <w:rPr>
          <w:rFonts w:ascii="Times New Roman" w:eastAsia="Times New Roman" w:hAnsi="Times New Roman" w:cs="Times New Roman"/>
          <w:i/>
          <w:iCs/>
          <w:sz w:val="24"/>
          <w:szCs w:val="24"/>
          <w:lang w:eastAsia="ru-RU"/>
        </w:rPr>
        <w:t>.О</w:t>
      </w:r>
      <w:proofErr w:type="gramEnd"/>
      <w:r w:rsidRPr="00992A2E">
        <w:rPr>
          <w:rFonts w:ascii="Times New Roman" w:eastAsia="Times New Roman" w:hAnsi="Times New Roman" w:cs="Times New Roman"/>
          <w:i/>
          <w:iCs/>
          <w:sz w:val="24"/>
          <w:szCs w:val="24"/>
          <w:lang w:eastAsia="ru-RU"/>
        </w:rPr>
        <w:t>тдельные</w:t>
      </w:r>
      <w:proofErr w:type="spellEnd"/>
      <w:r w:rsidRPr="00992A2E">
        <w:rPr>
          <w:rFonts w:ascii="Times New Roman" w:eastAsia="Times New Roman" w:hAnsi="Times New Roman" w:cs="Times New Roman"/>
          <w:i/>
          <w:iCs/>
          <w:sz w:val="24"/>
          <w:szCs w:val="24"/>
          <w:lang w:eastAsia="ru-RU"/>
        </w:rPr>
        <w:t xml:space="preserve"> категории граждан имеют право на назначение страховой пенсии по старости досрочно;</w:t>
      </w:r>
    </w:p>
    <w:p w:rsidR="00992A2E" w:rsidRPr="00992A2E" w:rsidRDefault="00992A2E" w:rsidP="00992A2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xml:space="preserve">для </w:t>
      </w:r>
      <w:proofErr w:type="gramStart"/>
      <w:r w:rsidRPr="00992A2E">
        <w:rPr>
          <w:rFonts w:ascii="Times New Roman" w:eastAsia="Times New Roman" w:hAnsi="Times New Roman" w:cs="Times New Roman"/>
          <w:sz w:val="24"/>
          <w:szCs w:val="24"/>
          <w:lang w:eastAsia="ru-RU"/>
        </w:rPr>
        <w:t>лиц, замещающих государственные должности Российской Федерации с 01.01.2017  действует</w:t>
      </w:r>
      <w:proofErr w:type="gramEnd"/>
      <w:r w:rsidRPr="00992A2E">
        <w:rPr>
          <w:rFonts w:ascii="Times New Roman" w:eastAsia="Times New Roman" w:hAnsi="Times New Roman" w:cs="Times New Roman"/>
          <w:sz w:val="24"/>
          <w:szCs w:val="24"/>
          <w:lang w:eastAsia="ru-RU"/>
        </w:rPr>
        <w:t xml:space="preserve"> повышенный пенсионный возраст, который ежегодно будет увеличиваться на 6 месяцев до 65 лет для мужчин и 63 лет для женщин;</w:t>
      </w:r>
    </w:p>
    <w:p w:rsidR="00992A2E" w:rsidRPr="00992A2E" w:rsidRDefault="00992A2E" w:rsidP="00992A2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i/>
          <w:iCs/>
          <w:sz w:val="24"/>
          <w:szCs w:val="24"/>
          <w:lang w:eastAsia="ru-RU"/>
        </w:rPr>
        <w:t>наличие страхового стажа не менее 15 лет (с 2024 года) с учетом переходных положений ст. 35 Закона от 28.12.2013 № 400-ФЗ;</w:t>
      </w:r>
    </w:p>
    <w:p w:rsidR="00992A2E" w:rsidRPr="00992A2E" w:rsidRDefault="00992A2E" w:rsidP="00992A2E">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i/>
          <w:iCs/>
          <w:sz w:val="24"/>
          <w:szCs w:val="24"/>
          <w:lang w:eastAsia="ru-RU"/>
        </w:rPr>
        <w:t xml:space="preserve">наличие минимальной суммы пенсионных баллов </w:t>
      </w:r>
      <w:proofErr w:type="gramStart"/>
      <w:r w:rsidRPr="00992A2E">
        <w:rPr>
          <w:rFonts w:ascii="Times New Roman" w:eastAsia="Times New Roman" w:hAnsi="Times New Roman" w:cs="Times New Roman"/>
          <w:i/>
          <w:iCs/>
          <w:sz w:val="24"/>
          <w:szCs w:val="24"/>
          <w:lang w:eastAsia="ru-RU"/>
        </w:rPr>
        <w:t>–н</w:t>
      </w:r>
      <w:proofErr w:type="gramEnd"/>
      <w:r w:rsidRPr="00992A2E">
        <w:rPr>
          <w:rFonts w:ascii="Times New Roman" w:eastAsia="Times New Roman" w:hAnsi="Times New Roman" w:cs="Times New Roman"/>
          <w:i/>
          <w:iCs/>
          <w:sz w:val="24"/>
          <w:szCs w:val="24"/>
          <w:lang w:eastAsia="ru-RU"/>
        </w:rPr>
        <w:t>е менее 30 (с 2025 года) с учетом переходных положений ст. 35 Закона от 28.12.2013 № 400-ФЗ.</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Количество пенсионных баллов зависит от начисленных и уплаченных страховых взносов в систему обязательного пенсионного страхования и длительности страхового (трудового) стажа.</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За каждый год трудовой деятельности гражданина при условии начисления работодателями или им лично уплаченных страховых взносов на обязательное пенсионное страхование у него формируются пенсионные права в виде пенсионных баллов.</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Максимальное количество пенсионных баллов за год с 2021 года – 10, в 2018 году – 8,70.</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b/>
          <w:bCs/>
          <w:sz w:val="24"/>
          <w:szCs w:val="24"/>
          <w:lang w:eastAsia="ru-RU"/>
        </w:rPr>
        <w:t>Сколько пенсионных баллов</w:t>
      </w:r>
      <w:r w:rsidRPr="00992A2E">
        <w:rPr>
          <w:rFonts w:ascii="Times New Roman" w:eastAsia="Times New Roman" w:hAnsi="Times New Roman" w:cs="Times New Roman"/>
          <w:b/>
          <w:bCs/>
          <w:sz w:val="24"/>
          <w:szCs w:val="24"/>
          <w:lang w:eastAsia="ru-RU"/>
        </w:rPr>
        <w:br/>
        <w:t>может быть начислено Вам за 2018 год?</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Введите размер Вашей ежемесячной</w:t>
      </w:r>
      <w:r w:rsidRPr="00992A2E">
        <w:rPr>
          <w:rFonts w:ascii="Times New Roman" w:eastAsia="Times New Roman" w:hAnsi="Times New Roman" w:cs="Times New Roman"/>
          <w:sz w:val="24"/>
          <w:szCs w:val="24"/>
          <w:lang w:eastAsia="ru-RU"/>
        </w:rPr>
        <w:br/>
        <w:t>заработной платы до вычета НДФЛ:</w:t>
      </w:r>
    </w:p>
    <w:p w:rsidR="00992A2E" w:rsidRPr="00992A2E" w:rsidRDefault="00992A2E" w:rsidP="00992A2E">
      <w:pPr>
        <w:spacing w:after="0"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49.5pt;height:18pt" o:ole="">
            <v:imagedata r:id="rId12" o:title=""/>
          </v:shape>
          <w:control r:id="rId13" w:name="DefaultOcxName" w:shapeid="_x0000_i1033"/>
        </w:object>
      </w:r>
    </w:p>
    <w:p w:rsidR="00992A2E" w:rsidRPr="00992A2E" w:rsidRDefault="00992A2E" w:rsidP="00992A2E">
      <w:pPr>
        <w:spacing w:after="0"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xml:space="preserve">Вариант пенсионного обеспечения в системе обязательного пенсионного страхования влияет на начисление годовых пенсионных баллов. При формировании только страховой </w:t>
      </w:r>
      <w:r w:rsidRPr="00992A2E">
        <w:rPr>
          <w:rFonts w:ascii="Times New Roman" w:eastAsia="Times New Roman" w:hAnsi="Times New Roman" w:cs="Times New Roman"/>
          <w:sz w:val="24"/>
          <w:szCs w:val="24"/>
          <w:lang w:eastAsia="ru-RU"/>
        </w:rPr>
        <w:lastRenderedPageBreak/>
        <w:t>пенсии максимальное количество годовых пенсионных баллов - 10, так как все страховые взносы направляются на формирование страховой пенсии. При выборе формирования одновременно и страховой, и накопительной пенсии максимальное количество годовых пенсионных баллов - 6,25.</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Граждане 1967 года рождения и моложе, сделавшие до 31 декабря 2015 года выбор в пользу формирования страховой и накопительной пенсии в системе ОПС, могут в любой момент отказаться от формирования накопительной пенсии и направить 6% страховых взносов на формирование только страховой пенсии.</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proofErr w:type="gramStart"/>
      <w:r w:rsidRPr="00992A2E">
        <w:rPr>
          <w:rFonts w:ascii="Times New Roman" w:eastAsia="Times New Roman" w:hAnsi="Times New Roman" w:cs="Times New Roman"/>
          <w:sz w:val="24"/>
          <w:szCs w:val="24"/>
          <w:lang w:eastAsia="ru-RU"/>
        </w:rPr>
        <w:t>Также, гражданам 1967 года рождения и моложе, в пользу которых страховые взносы по обязательному пенсионному страхованию начнут начисляться работодателем впервые после 1 января 2014 года, представляется возможность выбора варианта пенсионного обеспечения (формировать только страховую пенсию или формировать и страховую пенсию, и накопительную) в течение пяти лет с момента первого начисления страховых взносов.</w:t>
      </w:r>
      <w:proofErr w:type="gramEnd"/>
      <w:r w:rsidRPr="00992A2E">
        <w:rPr>
          <w:rFonts w:ascii="Times New Roman" w:eastAsia="Times New Roman" w:hAnsi="Times New Roman" w:cs="Times New Roman"/>
          <w:sz w:val="24"/>
          <w:szCs w:val="24"/>
          <w:lang w:eastAsia="ru-RU"/>
        </w:rPr>
        <w:t xml:space="preserve"> Если гражданин не достиг возраста 23 лет, указанный период увеличивается до окончания года, в котором ему исполняется 23 года.</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При выборе варианта пенсионного обеспечения следует учитывать, что страховая пенсия гарантированно увеличивается государством за счет ежегодной индексации. Средства же накопительной пенсии инвестирует на финансовом рынке выбранный гражданином НПФ или УК. Доходность пенсионных накоплений зависит от результатов их инвестирования, то есть может быть и убыток от их инвестирования. В этом случае к выплате гарантируется лишь сумма уплаченных страховых взносов. Пенсионные накопления не индексируются.</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У всех граждан 1966 года рождения и старше вариант пенсионного обеспечения – формирование только страховой пенсии.</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Получение права на страховую пенсию зависит от года назначения страховой пенсии</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84"/>
        <w:gridCol w:w="1794"/>
        <w:gridCol w:w="2520"/>
        <w:gridCol w:w="2134"/>
        <w:gridCol w:w="2013"/>
      </w:tblGrid>
      <w:tr w:rsidR="00992A2E" w:rsidRPr="00992A2E" w:rsidTr="00992A2E">
        <w:trPr>
          <w:tblHeader/>
          <w:tblCellSpacing w:w="15" w:type="dxa"/>
        </w:trPr>
        <w:tc>
          <w:tcPr>
            <w:tcW w:w="0" w:type="auto"/>
            <w:vMerge w:val="restart"/>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Год</w:t>
            </w:r>
          </w:p>
        </w:tc>
        <w:tc>
          <w:tcPr>
            <w:tcW w:w="0" w:type="auto"/>
            <w:vMerge w:val="restart"/>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Минимальный страховой стаж</w:t>
            </w:r>
          </w:p>
        </w:tc>
        <w:tc>
          <w:tcPr>
            <w:tcW w:w="0" w:type="auto"/>
            <w:vMerge w:val="restart"/>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Минимальная сумма индивидуальных пенсионных коэффициентов</w:t>
            </w:r>
          </w:p>
        </w:tc>
        <w:tc>
          <w:tcPr>
            <w:tcW w:w="0" w:type="auto"/>
            <w:gridSpan w:val="2"/>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Максимальное значение годового индивидуального пенсионного коэффициента</w:t>
            </w:r>
          </w:p>
        </w:tc>
      </w:tr>
      <w:tr w:rsidR="00992A2E" w:rsidRPr="00992A2E" w:rsidTr="00992A2E">
        <w:trPr>
          <w:tblHeader/>
          <w:tblCellSpacing w:w="15" w:type="dxa"/>
        </w:trPr>
        <w:tc>
          <w:tcPr>
            <w:tcW w:w="0" w:type="auto"/>
            <w:vMerge/>
            <w:vAlign w:val="center"/>
            <w:hideMark/>
          </w:tcPr>
          <w:p w:rsidR="00992A2E" w:rsidRPr="00992A2E" w:rsidRDefault="00992A2E" w:rsidP="00992A2E">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2A2E" w:rsidRPr="00992A2E" w:rsidRDefault="00992A2E" w:rsidP="00992A2E">
            <w:pPr>
              <w:spacing w:after="0" w:line="240" w:lineRule="auto"/>
              <w:rPr>
                <w:rFonts w:ascii="Times New Roman" w:eastAsia="Times New Roman" w:hAnsi="Times New Roman" w:cs="Times New Roman"/>
                <w:sz w:val="24"/>
                <w:szCs w:val="24"/>
                <w:lang w:eastAsia="ru-RU"/>
              </w:rPr>
            </w:pPr>
          </w:p>
        </w:tc>
        <w:tc>
          <w:tcPr>
            <w:tcW w:w="0" w:type="auto"/>
            <w:vMerge/>
            <w:vAlign w:val="center"/>
            <w:hideMark/>
          </w:tcPr>
          <w:p w:rsidR="00992A2E" w:rsidRPr="00992A2E" w:rsidRDefault="00992A2E" w:rsidP="00992A2E">
            <w:pPr>
              <w:spacing w:after="0" w:line="240" w:lineRule="auto"/>
              <w:rPr>
                <w:rFonts w:ascii="Times New Roman" w:eastAsia="Times New Roman" w:hAnsi="Times New Roman" w:cs="Times New Roman"/>
                <w:sz w:val="24"/>
                <w:szCs w:val="24"/>
                <w:lang w:eastAsia="ru-RU"/>
              </w:rPr>
            </w:pP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при отказе от формирования накопительной пенсии</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при формировании накопительной пенсии</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2015</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6,6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7,39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7,39*</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2016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7</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7,83</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7,83*</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2017</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8</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11,4</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8,26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8,26*</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2018</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13,8</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8,70</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8,70*</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2019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16,2</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9,13</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9,13*</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2020</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11</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18,6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9,57</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9,57*</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2021</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12</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21</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6,25</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2022</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13</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23,4</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6,25</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2023</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14</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25,8</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6,25</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2024</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15</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28,2</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6,25</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xml:space="preserve">2025 и </w:t>
            </w:r>
            <w:r w:rsidRPr="00992A2E">
              <w:rPr>
                <w:rFonts w:ascii="Times New Roman" w:eastAsia="Times New Roman" w:hAnsi="Times New Roman" w:cs="Times New Roman"/>
                <w:sz w:val="24"/>
                <w:szCs w:val="24"/>
                <w:lang w:eastAsia="ru-RU"/>
              </w:rPr>
              <w:lastRenderedPageBreak/>
              <w:t>позднее</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lastRenderedPageBreak/>
              <w:t>15</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30</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6,25</w:t>
            </w:r>
          </w:p>
        </w:tc>
      </w:tr>
    </w:tbl>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lastRenderedPageBreak/>
        <w:t xml:space="preserve">*С 2015 года по 2020 год независимо от выбора варианта пенсионного обеспечения в системе ОПС у всех граждан формируются пенсионные права только </w:t>
      </w:r>
      <w:hyperlink r:id="rId14" w:history="1">
        <w:r w:rsidRPr="00992A2E">
          <w:rPr>
            <w:rFonts w:ascii="Times New Roman" w:eastAsia="Times New Roman" w:hAnsi="Times New Roman" w:cs="Times New Roman"/>
            <w:color w:val="0000FF"/>
            <w:sz w:val="24"/>
            <w:szCs w:val="24"/>
            <w:u w:val="single"/>
            <w:lang w:eastAsia="ru-RU"/>
          </w:rPr>
          <w:t>на страховую пенсию исходя из всей суммы начисленных страховых взносов</w:t>
        </w:r>
      </w:hyperlink>
      <w:r w:rsidRPr="00992A2E">
        <w:rPr>
          <w:rFonts w:ascii="Times New Roman" w:eastAsia="Times New Roman" w:hAnsi="Times New Roman" w:cs="Times New Roman"/>
          <w:sz w:val="24"/>
          <w:szCs w:val="24"/>
          <w:lang w:eastAsia="ru-RU"/>
        </w:rPr>
        <w:t>. В связи с этим максимальное значение годового индивидуального пенсионного коэффициента одинаково для любого варианта формирования пенсии.</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Страховая пенсия по старости рассчитывается по формуле:</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xml:space="preserve">СТРАХОВАЯ ПЕНСИЯ = СУММА ВАШИХ ПЕНСИОННЫХ БАЛЛОВ * СТОИМОСТЬ ПЕНСИОННОГО </w:t>
      </w:r>
      <w:proofErr w:type="gramStart"/>
      <w:r w:rsidRPr="00992A2E">
        <w:rPr>
          <w:rFonts w:ascii="Times New Roman" w:eastAsia="Times New Roman" w:hAnsi="Times New Roman" w:cs="Times New Roman"/>
          <w:sz w:val="24"/>
          <w:szCs w:val="24"/>
          <w:lang w:eastAsia="ru-RU"/>
        </w:rPr>
        <w:t>БАЛЛА</w:t>
      </w:r>
      <w:proofErr w:type="gramEnd"/>
      <w:r w:rsidRPr="00992A2E">
        <w:rPr>
          <w:rFonts w:ascii="Times New Roman" w:eastAsia="Times New Roman" w:hAnsi="Times New Roman" w:cs="Times New Roman"/>
          <w:sz w:val="24"/>
          <w:szCs w:val="24"/>
          <w:lang w:eastAsia="ru-RU"/>
        </w:rPr>
        <w:t xml:space="preserve"> на дату назначения пенсии + ФИКСИРОВАННАЯ ВЫПЛАТА</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или</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b/>
          <w:bCs/>
          <w:sz w:val="24"/>
          <w:szCs w:val="24"/>
          <w:lang w:eastAsia="ru-RU"/>
        </w:rPr>
        <w:t>СП = ИПК * СИПК + ФВ</w:t>
      </w:r>
      <w:r w:rsidRPr="00992A2E">
        <w:rPr>
          <w:rFonts w:ascii="Times New Roman" w:eastAsia="Times New Roman" w:hAnsi="Times New Roman" w:cs="Times New Roman"/>
          <w:sz w:val="24"/>
          <w:szCs w:val="24"/>
          <w:lang w:eastAsia="ru-RU"/>
        </w:rPr>
        <w:t>, где:</w:t>
      </w:r>
    </w:p>
    <w:p w:rsidR="00992A2E" w:rsidRPr="00992A2E" w:rsidRDefault="00992A2E" w:rsidP="00992A2E">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b/>
          <w:bCs/>
          <w:i/>
          <w:iCs/>
          <w:sz w:val="24"/>
          <w:szCs w:val="24"/>
          <w:lang w:eastAsia="ru-RU"/>
        </w:rPr>
        <w:t>СП </w:t>
      </w:r>
      <w:r w:rsidRPr="00992A2E">
        <w:rPr>
          <w:rFonts w:ascii="Times New Roman" w:eastAsia="Times New Roman" w:hAnsi="Times New Roman" w:cs="Times New Roman"/>
          <w:i/>
          <w:iCs/>
          <w:sz w:val="24"/>
          <w:szCs w:val="24"/>
          <w:lang w:eastAsia="ru-RU"/>
        </w:rPr>
        <w:t>– страховая пенсия</w:t>
      </w:r>
    </w:p>
    <w:p w:rsidR="00992A2E" w:rsidRPr="00992A2E" w:rsidRDefault="00992A2E" w:rsidP="00992A2E">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b/>
          <w:bCs/>
          <w:i/>
          <w:iCs/>
          <w:sz w:val="24"/>
          <w:szCs w:val="24"/>
          <w:lang w:eastAsia="ru-RU"/>
        </w:rPr>
        <w:t>ИПК </w:t>
      </w:r>
      <w:r w:rsidRPr="00992A2E">
        <w:rPr>
          <w:rFonts w:ascii="Times New Roman" w:eastAsia="Times New Roman" w:hAnsi="Times New Roman" w:cs="Times New Roman"/>
          <w:i/>
          <w:iCs/>
          <w:sz w:val="24"/>
          <w:szCs w:val="24"/>
          <w:lang w:eastAsia="ru-RU"/>
        </w:rPr>
        <w:t>– это сумма всех пенсионных баллов, начисленных на дату назначения гражданину страховой пенсии</w:t>
      </w:r>
    </w:p>
    <w:p w:rsidR="00992A2E" w:rsidRPr="00992A2E" w:rsidRDefault="00992A2E" w:rsidP="00992A2E">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b/>
          <w:bCs/>
          <w:i/>
          <w:iCs/>
          <w:sz w:val="24"/>
          <w:szCs w:val="24"/>
          <w:lang w:eastAsia="ru-RU"/>
        </w:rPr>
        <w:t>СИПК </w:t>
      </w:r>
      <w:r w:rsidRPr="00992A2E">
        <w:rPr>
          <w:rFonts w:ascii="Times New Roman" w:eastAsia="Times New Roman" w:hAnsi="Times New Roman" w:cs="Times New Roman"/>
          <w:i/>
          <w:iCs/>
          <w:sz w:val="24"/>
          <w:szCs w:val="24"/>
          <w:lang w:eastAsia="ru-RU"/>
        </w:rPr>
        <w:t>– стоимость пенсионного балла на дату назначения страховой пенсии.</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i/>
          <w:iCs/>
          <w:sz w:val="24"/>
          <w:szCs w:val="24"/>
          <w:lang w:eastAsia="ru-RU"/>
        </w:rPr>
        <w:t>При назначении пенсии с 01.01.2018 = 81,49 руб. Ежегодно индексируется государством.</w:t>
      </w:r>
    </w:p>
    <w:p w:rsidR="00992A2E" w:rsidRPr="00992A2E" w:rsidRDefault="00992A2E" w:rsidP="00992A2E">
      <w:pPr>
        <w:numPr>
          <w:ilvl w:val="0"/>
          <w:numId w:val="3"/>
        </w:num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b/>
          <w:bCs/>
          <w:i/>
          <w:iCs/>
          <w:sz w:val="24"/>
          <w:szCs w:val="24"/>
          <w:lang w:eastAsia="ru-RU"/>
        </w:rPr>
        <w:t>ФВ </w:t>
      </w:r>
      <w:r w:rsidRPr="00992A2E">
        <w:rPr>
          <w:rFonts w:ascii="Times New Roman" w:eastAsia="Times New Roman" w:hAnsi="Times New Roman" w:cs="Times New Roman"/>
          <w:i/>
          <w:iCs/>
          <w:sz w:val="24"/>
          <w:szCs w:val="24"/>
          <w:lang w:eastAsia="ru-RU"/>
        </w:rPr>
        <w:t>– фиксированная выплата.</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i/>
          <w:iCs/>
          <w:sz w:val="24"/>
          <w:szCs w:val="24"/>
          <w:lang w:eastAsia="ru-RU"/>
        </w:rPr>
        <w:t>На 1 января 2018 года - 4982,90 руб. Ежегодно индексируется государством.</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Таким образом, расчет страховой пенсии в 2018 году осуществляется по формуле:</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СП = ИПК * 81,49 + 4982,90</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w:t>
      </w:r>
    </w:p>
    <w:p w:rsidR="00992A2E" w:rsidRPr="00992A2E" w:rsidRDefault="00992A2E" w:rsidP="00992A2E">
      <w:pPr>
        <w:numPr>
          <w:ilvl w:val="0"/>
          <w:numId w:val="4"/>
        </w:num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5" w:history="1">
        <w:r w:rsidRPr="00992A2E">
          <w:rPr>
            <w:rFonts w:ascii="Times New Roman" w:eastAsia="Times New Roman" w:hAnsi="Times New Roman" w:cs="Times New Roman"/>
            <w:b/>
            <w:bCs/>
            <w:color w:val="0000FF"/>
            <w:sz w:val="27"/>
            <w:szCs w:val="27"/>
            <w:u w:val="single"/>
            <w:lang w:eastAsia="ru-RU"/>
          </w:rPr>
          <w:t>При определении суммы всех пенсионных баллов учитываются пенсионные баллы за каждый календарный год</w:t>
        </w:r>
      </w:hyperlink>
      <w:r w:rsidRPr="00992A2E">
        <w:rPr>
          <w:rFonts w:ascii="Times New Roman" w:eastAsia="Times New Roman" w:hAnsi="Times New Roman" w:cs="Times New Roman"/>
          <w:b/>
          <w:bCs/>
          <w:sz w:val="27"/>
          <w:szCs w:val="27"/>
          <w:lang w:eastAsia="ru-RU"/>
        </w:rPr>
        <w:t xml:space="preserve"> </w:t>
      </w:r>
    </w:p>
    <w:p w:rsidR="00992A2E" w:rsidRPr="00992A2E" w:rsidRDefault="00992A2E" w:rsidP="00992A2E">
      <w:pPr>
        <w:spacing w:after="75"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000FF"/>
          <w:sz w:val="24"/>
          <w:szCs w:val="24"/>
          <w:lang w:eastAsia="ru-RU"/>
        </w:rPr>
        <w:lastRenderedPageBreak/>
        <w:drawing>
          <wp:inline distT="0" distB="0" distL="0" distR="0">
            <wp:extent cx="2286000" cy="1685925"/>
            <wp:effectExtent l="0" t="0" r="0" b="9525"/>
            <wp:docPr id="1" name="Рисунок 1" descr="http://www.pfrf.ru/files/id/press_center/pr/liflet/2018/11.jpg">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pfrf.ru/files/id/press_center/pr/liflet/2018/11.jpg">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0" cy="1685925"/>
                    </a:xfrm>
                    <a:prstGeom prst="rect">
                      <a:avLst/>
                    </a:prstGeom>
                    <a:noFill/>
                    <a:ln>
                      <a:noFill/>
                    </a:ln>
                  </pic:spPr>
                </pic:pic>
              </a:graphicData>
            </a:graphic>
          </wp:inline>
        </w:drawing>
      </w:r>
      <w:r w:rsidRPr="00992A2E">
        <w:rPr>
          <w:rFonts w:ascii="Times New Roman" w:eastAsia="Times New Roman" w:hAnsi="Times New Roman" w:cs="Times New Roman"/>
          <w:sz w:val="24"/>
          <w:szCs w:val="24"/>
          <w:lang w:eastAsia="ru-RU"/>
        </w:rPr>
        <w:br/>
      </w:r>
      <w:hyperlink r:id="rId18" w:tgtFrame="_blank" w:history="1">
        <w:r w:rsidRPr="00992A2E">
          <w:rPr>
            <w:rFonts w:ascii="Times New Roman" w:eastAsia="Times New Roman" w:hAnsi="Times New Roman" w:cs="Times New Roman"/>
            <w:color w:val="0000FF"/>
            <w:sz w:val="24"/>
            <w:szCs w:val="24"/>
            <w:u w:val="single"/>
            <w:lang w:eastAsia="ru-RU"/>
          </w:rPr>
          <w:t xml:space="preserve">скачать </w:t>
        </w:r>
        <w:proofErr w:type="spellStart"/>
        <w:r w:rsidRPr="00992A2E">
          <w:rPr>
            <w:rFonts w:ascii="Times New Roman" w:eastAsia="Times New Roman" w:hAnsi="Times New Roman" w:cs="Times New Roman"/>
            <w:color w:val="0000FF"/>
            <w:sz w:val="24"/>
            <w:szCs w:val="24"/>
            <w:u w:val="single"/>
            <w:lang w:eastAsia="ru-RU"/>
          </w:rPr>
          <w:t>лифлет</w:t>
        </w:r>
        <w:proofErr w:type="spellEnd"/>
      </w:hyperlink>
      <w:r w:rsidRPr="00992A2E">
        <w:rPr>
          <w:rFonts w:ascii="Times New Roman" w:eastAsia="Times New Roman" w:hAnsi="Times New Roman" w:cs="Times New Roman"/>
          <w:sz w:val="24"/>
          <w:szCs w:val="24"/>
          <w:lang w:eastAsia="ru-RU"/>
        </w:rPr>
        <w:t xml:space="preserve"> (382 Кб)</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Также сумму Ваших пенсионных баллов (ИПК) существенно увеличивает обращение за назначением страховой пенсии по старости впервые (в том числе досрочно) позднее возникновения права на нее. За каждый год более позднего обращения за назначением пенсии страховая пенсия будет увеличиваться на соответствующие премиальные коэффициенты.</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 xml:space="preserve">Например, если Вы обратитесь за назначением пенсии через 5 лет после достижения пенсионного возраста, то фиксированная выплата вырастет на 36%, а сумма Ваших индивидуальных пенсионных коэффициентов – на 45%; а если через 10 лет, то фиксированная выплата увеличится в 2,11 раз, а сумма Ваших индивидуальных пенсионных коэффициентов </w:t>
      </w:r>
      <w:proofErr w:type="gramStart"/>
      <w:r w:rsidRPr="00992A2E">
        <w:rPr>
          <w:rFonts w:ascii="Times New Roman" w:eastAsia="Times New Roman" w:hAnsi="Times New Roman" w:cs="Times New Roman"/>
          <w:sz w:val="24"/>
          <w:szCs w:val="24"/>
          <w:lang w:eastAsia="ru-RU"/>
        </w:rPr>
        <w:t>в</w:t>
      </w:r>
      <w:proofErr w:type="gramEnd"/>
      <w:r w:rsidRPr="00992A2E">
        <w:rPr>
          <w:rFonts w:ascii="Times New Roman" w:eastAsia="Times New Roman" w:hAnsi="Times New Roman" w:cs="Times New Roman"/>
          <w:sz w:val="24"/>
          <w:szCs w:val="24"/>
          <w:lang w:eastAsia="ru-RU"/>
        </w:rPr>
        <w:t xml:space="preserve"> 2,32 раза.</w:t>
      </w:r>
    </w:p>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bookmarkStart w:id="1" w:name="prem_coef"/>
      <w:bookmarkEnd w:id="1"/>
      <w:r w:rsidRPr="00992A2E">
        <w:rPr>
          <w:rFonts w:ascii="Times New Roman" w:eastAsia="Times New Roman" w:hAnsi="Times New Roman" w:cs="Times New Roman"/>
          <w:sz w:val="24"/>
          <w:szCs w:val="24"/>
          <w:lang w:eastAsia="ru-RU"/>
        </w:rPr>
        <w:t>Коэффициенты для расчета страховой пенсии при отсрочке обращения за ее назначением</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4"/>
        <w:gridCol w:w="1884"/>
        <w:gridCol w:w="2213"/>
        <w:gridCol w:w="1635"/>
        <w:gridCol w:w="1979"/>
      </w:tblGrid>
      <w:tr w:rsidR="00992A2E" w:rsidRPr="00992A2E" w:rsidTr="00992A2E">
        <w:trPr>
          <w:tblHeade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Период более позднего обращения за назначением страховой пенсии</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Коэффициент увеличения фиксированной выплаты</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Коэффициент увеличения фиксированной выплаты при наличии права на досрочное назначение пенсии</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Коэффициент увеличения суммы ИПК</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Коэффициент увеличения суммы ИПК при наличии права на досрочное назначение пенсии</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1,056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1,036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1,07</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1,046</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1,12</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1,07</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1,15</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1,1</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3</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1,19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1,12</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1,24</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1,16</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4</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1,27</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1,16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1,34</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1,22</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5</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1,36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1,21</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1,45</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1,29</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1,46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1,26</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1,59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1,37</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7</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1,58</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1,32</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1,74</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1,45</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8</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1,73</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1,38</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1,52</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1,45</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2,09</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1,6</w:t>
            </w:r>
          </w:p>
        </w:tc>
      </w:tr>
      <w:tr w:rsidR="00992A2E" w:rsidRPr="00992A2E" w:rsidTr="00992A2E">
        <w:trPr>
          <w:tblCellSpacing w:w="15" w:type="dxa"/>
        </w:trPr>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10 и более лет</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2,11</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1,53</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2,32</w:t>
            </w:r>
          </w:p>
        </w:tc>
        <w:tc>
          <w:tcPr>
            <w:tcW w:w="0" w:type="auto"/>
            <w:vAlign w:val="center"/>
            <w:hideMark/>
          </w:tcPr>
          <w:p w:rsidR="00992A2E" w:rsidRPr="00992A2E" w:rsidRDefault="00992A2E" w:rsidP="00992A2E">
            <w:pPr>
              <w:spacing w:before="100" w:beforeAutospacing="1" w:after="100" w:afterAutospacing="1" w:line="240" w:lineRule="auto"/>
              <w:rPr>
                <w:rFonts w:ascii="Times New Roman" w:eastAsia="Times New Roman" w:hAnsi="Times New Roman" w:cs="Times New Roman"/>
                <w:sz w:val="24"/>
                <w:szCs w:val="24"/>
                <w:lang w:eastAsia="ru-RU"/>
              </w:rPr>
            </w:pPr>
            <w:r w:rsidRPr="00992A2E">
              <w:rPr>
                <w:rFonts w:ascii="Times New Roman" w:eastAsia="Times New Roman" w:hAnsi="Times New Roman" w:cs="Times New Roman"/>
                <w:sz w:val="24"/>
                <w:szCs w:val="24"/>
                <w:lang w:eastAsia="ru-RU"/>
              </w:rPr>
              <w:t>1,68</w:t>
            </w:r>
          </w:p>
        </w:tc>
      </w:tr>
    </w:tbl>
    <w:p w:rsidR="00AC6391" w:rsidRDefault="00AC6391"/>
    <w:sectPr w:rsidR="00AC639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F3C71"/>
    <w:multiLevelType w:val="multilevel"/>
    <w:tmpl w:val="F4E6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0CF6E6E"/>
    <w:multiLevelType w:val="multilevel"/>
    <w:tmpl w:val="92EE4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93545D5"/>
    <w:multiLevelType w:val="multilevel"/>
    <w:tmpl w:val="7906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F9E73A9"/>
    <w:multiLevelType w:val="multilevel"/>
    <w:tmpl w:val="ED8CD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55DA"/>
    <w:rsid w:val="00992A2E"/>
    <w:rsid w:val="00AC6391"/>
    <w:rsid w:val="00B255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92A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992A2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2A2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992A2E"/>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992A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92A2E"/>
    <w:rPr>
      <w:color w:val="0000FF"/>
      <w:u w:val="single"/>
    </w:rPr>
  </w:style>
  <w:style w:type="character" w:styleId="a5">
    <w:name w:val="Emphasis"/>
    <w:basedOn w:val="a0"/>
    <w:uiPriority w:val="20"/>
    <w:qFormat/>
    <w:rsid w:val="00992A2E"/>
    <w:rPr>
      <w:i/>
      <w:iCs/>
    </w:rPr>
  </w:style>
  <w:style w:type="character" w:styleId="a6">
    <w:name w:val="Strong"/>
    <w:basedOn w:val="a0"/>
    <w:uiPriority w:val="22"/>
    <w:qFormat/>
    <w:rsid w:val="00992A2E"/>
    <w:rPr>
      <w:b/>
      <w:bCs/>
    </w:rPr>
  </w:style>
  <w:style w:type="paragraph" w:customStyle="1" w:styleId="label">
    <w:name w:val="label"/>
    <w:basedOn w:val="a"/>
    <w:rsid w:val="00992A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992A2E"/>
  </w:style>
  <w:style w:type="paragraph" w:styleId="a7">
    <w:name w:val="Balloon Text"/>
    <w:basedOn w:val="a"/>
    <w:link w:val="a8"/>
    <w:uiPriority w:val="99"/>
    <w:semiHidden/>
    <w:unhideWhenUsed/>
    <w:rsid w:val="00992A2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92A2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992A2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992A2E"/>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2A2E"/>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992A2E"/>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992A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92A2E"/>
    <w:rPr>
      <w:color w:val="0000FF"/>
      <w:u w:val="single"/>
    </w:rPr>
  </w:style>
  <w:style w:type="character" w:styleId="a5">
    <w:name w:val="Emphasis"/>
    <w:basedOn w:val="a0"/>
    <w:uiPriority w:val="20"/>
    <w:qFormat/>
    <w:rsid w:val="00992A2E"/>
    <w:rPr>
      <w:i/>
      <w:iCs/>
    </w:rPr>
  </w:style>
  <w:style w:type="character" w:styleId="a6">
    <w:name w:val="Strong"/>
    <w:basedOn w:val="a0"/>
    <w:uiPriority w:val="22"/>
    <w:qFormat/>
    <w:rsid w:val="00992A2E"/>
    <w:rPr>
      <w:b/>
      <w:bCs/>
    </w:rPr>
  </w:style>
  <w:style w:type="paragraph" w:customStyle="1" w:styleId="label">
    <w:name w:val="label"/>
    <w:basedOn w:val="a"/>
    <w:rsid w:val="00992A2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text-highlight">
    <w:name w:val="text-highlight"/>
    <w:basedOn w:val="a0"/>
    <w:rsid w:val="00992A2E"/>
  </w:style>
  <w:style w:type="paragraph" w:styleId="a7">
    <w:name w:val="Balloon Text"/>
    <w:basedOn w:val="a"/>
    <w:link w:val="a8"/>
    <w:uiPriority w:val="99"/>
    <w:semiHidden/>
    <w:unhideWhenUsed/>
    <w:rsid w:val="00992A2E"/>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992A2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063506">
      <w:bodyDiv w:val="1"/>
      <w:marLeft w:val="0"/>
      <w:marRight w:val="0"/>
      <w:marTop w:val="0"/>
      <w:marBottom w:val="0"/>
      <w:divBdr>
        <w:top w:val="none" w:sz="0" w:space="0" w:color="auto"/>
        <w:left w:val="none" w:sz="0" w:space="0" w:color="auto"/>
        <w:bottom w:val="none" w:sz="0" w:space="0" w:color="auto"/>
        <w:right w:val="none" w:sz="0" w:space="0" w:color="auto"/>
      </w:divBdr>
      <w:divsChild>
        <w:div w:id="1492019128">
          <w:marLeft w:val="0"/>
          <w:marRight w:val="0"/>
          <w:marTop w:val="0"/>
          <w:marBottom w:val="0"/>
          <w:divBdr>
            <w:top w:val="none" w:sz="0" w:space="0" w:color="auto"/>
            <w:left w:val="none" w:sz="0" w:space="0" w:color="auto"/>
            <w:bottom w:val="none" w:sz="0" w:space="0" w:color="auto"/>
            <w:right w:val="none" w:sz="0" w:space="0" w:color="auto"/>
          </w:divBdr>
          <w:divsChild>
            <w:div w:id="2022732573">
              <w:marLeft w:val="0"/>
              <w:marRight w:val="0"/>
              <w:marTop w:val="0"/>
              <w:marBottom w:val="0"/>
              <w:divBdr>
                <w:top w:val="none" w:sz="0" w:space="0" w:color="auto"/>
                <w:left w:val="none" w:sz="0" w:space="0" w:color="auto"/>
                <w:bottom w:val="none" w:sz="0" w:space="0" w:color="auto"/>
                <w:right w:val="none" w:sz="0" w:space="0" w:color="auto"/>
              </w:divBdr>
            </w:div>
          </w:divsChild>
        </w:div>
        <w:div w:id="880440797">
          <w:marLeft w:val="0"/>
          <w:marRight w:val="0"/>
          <w:marTop w:val="0"/>
          <w:marBottom w:val="0"/>
          <w:divBdr>
            <w:top w:val="none" w:sz="0" w:space="0" w:color="auto"/>
            <w:left w:val="none" w:sz="0" w:space="0" w:color="auto"/>
            <w:bottom w:val="none" w:sz="0" w:space="0" w:color="auto"/>
            <w:right w:val="none" w:sz="0" w:space="0" w:color="auto"/>
          </w:divBdr>
          <w:divsChild>
            <w:div w:id="928199985">
              <w:marLeft w:val="0"/>
              <w:marRight w:val="0"/>
              <w:marTop w:val="0"/>
              <w:marBottom w:val="0"/>
              <w:divBdr>
                <w:top w:val="none" w:sz="0" w:space="0" w:color="auto"/>
                <w:left w:val="none" w:sz="0" w:space="0" w:color="auto"/>
                <w:bottom w:val="none" w:sz="0" w:space="0" w:color="auto"/>
                <w:right w:val="none" w:sz="0" w:space="0" w:color="auto"/>
              </w:divBdr>
              <w:divsChild>
                <w:div w:id="1793788093">
                  <w:marLeft w:val="0"/>
                  <w:marRight w:val="0"/>
                  <w:marTop w:val="0"/>
                  <w:marBottom w:val="0"/>
                  <w:divBdr>
                    <w:top w:val="none" w:sz="0" w:space="0" w:color="auto"/>
                    <w:left w:val="none" w:sz="0" w:space="0" w:color="auto"/>
                    <w:bottom w:val="none" w:sz="0" w:space="0" w:color="auto"/>
                    <w:right w:val="none" w:sz="0" w:space="0" w:color="auto"/>
                  </w:divBdr>
                  <w:divsChild>
                    <w:div w:id="1568686961">
                      <w:marLeft w:val="0"/>
                      <w:marRight w:val="0"/>
                      <w:marTop w:val="0"/>
                      <w:marBottom w:val="0"/>
                      <w:divBdr>
                        <w:top w:val="none" w:sz="0" w:space="0" w:color="auto"/>
                        <w:left w:val="none" w:sz="0" w:space="0" w:color="auto"/>
                        <w:bottom w:val="none" w:sz="0" w:space="0" w:color="auto"/>
                        <w:right w:val="none" w:sz="0" w:space="0" w:color="auto"/>
                      </w:divBdr>
                      <w:divsChild>
                        <w:div w:id="856892274">
                          <w:marLeft w:val="75"/>
                          <w:marRight w:val="75"/>
                          <w:marTop w:val="75"/>
                          <w:marBottom w:val="75"/>
                          <w:divBdr>
                            <w:top w:val="none" w:sz="0" w:space="0" w:color="auto"/>
                            <w:left w:val="none" w:sz="0" w:space="0" w:color="auto"/>
                            <w:bottom w:val="none" w:sz="0" w:space="0" w:color="auto"/>
                            <w:right w:val="none" w:sz="0" w:space="0" w:color="auto"/>
                          </w:divBdr>
                        </w:div>
                        <w:div w:id="5296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526129">
          <w:marLeft w:val="0"/>
          <w:marRight w:val="0"/>
          <w:marTop w:val="0"/>
          <w:marBottom w:val="0"/>
          <w:divBdr>
            <w:top w:val="none" w:sz="0" w:space="0" w:color="auto"/>
            <w:left w:val="none" w:sz="0" w:space="0" w:color="auto"/>
            <w:bottom w:val="none" w:sz="0" w:space="0" w:color="auto"/>
            <w:right w:val="none" w:sz="0" w:space="0" w:color="auto"/>
          </w:divBdr>
          <w:divsChild>
            <w:div w:id="1861240933">
              <w:marLeft w:val="0"/>
              <w:marRight w:val="0"/>
              <w:marTop w:val="0"/>
              <w:marBottom w:val="0"/>
              <w:divBdr>
                <w:top w:val="none" w:sz="0" w:space="0" w:color="auto"/>
                <w:left w:val="none" w:sz="0" w:space="0" w:color="auto"/>
                <w:bottom w:val="none" w:sz="0" w:space="0" w:color="auto"/>
                <w:right w:val="none" w:sz="0" w:space="0" w:color="auto"/>
              </w:divBdr>
              <w:divsChild>
                <w:div w:id="808746814">
                  <w:marLeft w:val="0"/>
                  <w:marRight w:val="0"/>
                  <w:marTop w:val="0"/>
                  <w:marBottom w:val="0"/>
                  <w:divBdr>
                    <w:top w:val="none" w:sz="0" w:space="0" w:color="auto"/>
                    <w:left w:val="none" w:sz="0" w:space="0" w:color="auto"/>
                    <w:bottom w:val="none" w:sz="0" w:space="0" w:color="auto"/>
                    <w:right w:val="none" w:sz="0" w:space="0" w:color="auto"/>
                  </w:divBdr>
                  <w:divsChild>
                    <w:div w:id="1050689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887490">
          <w:marLeft w:val="0"/>
          <w:marRight w:val="0"/>
          <w:marTop w:val="0"/>
          <w:marBottom w:val="0"/>
          <w:divBdr>
            <w:top w:val="none" w:sz="0" w:space="0" w:color="auto"/>
            <w:left w:val="none" w:sz="0" w:space="0" w:color="auto"/>
            <w:bottom w:val="none" w:sz="0" w:space="0" w:color="auto"/>
            <w:right w:val="none" w:sz="0" w:space="0" w:color="auto"/>
          </w:divBdr>
          <w:divsChild>
            <w:div w:id="1976063374">
              <w:marLeft w:val="0"/>
              <w:marRight w:val="0"/>
              <w:marTop w:val="0"/>
              <w:marBottom w:val="0"/>
              <w:divBdr>
                <w:top w:val="none" w:sz="0" w:space="0" w:color="auto"/>
                <w:left w:val="none" w:sz="0" w:space="0" w:color="auto"/>
                <w:bottom w:val="none" w:sz="0" w:space="0" w:color="auto"/>
                <w:right w:val="none" w:sz="0" w:space="0" w:color="auto"/>
              </w:divBdr>
              <w:divsChild>
                <w:div w:id="1458378432">
                  <w:marLeft w:val="75"/>
                  <w:marRight w:val="75"/>
                  <w:marTop w:val="75"/>
                  <w:marBottom w:val="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knopki/zhizn/%7E439" TargetMode="External"/><Relationship Id="rId13" Type="http://schemas.openxmlformats.org/officeDocument/2006/relationships/control" Target="activeX/activeX1.xml"/><Relationship Id="rId18" Type="http://schemas.openxmlformats.org/officeDocument/2006/relationships/hyperlink" Target="http://www.pfrf.ru/files/id/press_center/pr/liflet/2018/Otlojennyiy_vyihod_na_pensiyu_-_vyigodno.pdf" TargetMode="External"/><Relationship Id="rId3" Type="http://schemas.microsoft.com/office/2007/relationships/stylesWithEffects" Target="stylesWithEffects.xml"/><Relationship Id="rId7" Type="http://schemas.openxmlformats.org/officeDocument/2006/relationships/hyperlink" Target="http://www.pfrf.ru/knopki/zhizn/%7E438" TargetMode="External"/><Relationship Id="rId12" Type="http://schemas.openxmlformats.org/officeDocument/2006/relationships/image" Target="media/image1.wmf"/><Relationship Id="rId17" Type="http://schemas.openxmlformats.org/officeDocument/2006/relationships/image" Target="media/image2.jpeg"/><Relationship Id="rId2" Type="http://schemas.openxmlformats.org/officeDocument/2006/relationships/styles" Target="styles.xml"/><Relationship Id="rId16" Type="http://schemas.openxmlformats.org/officeDocument/2006/relationships/hyperlink" Target="http://www.pfrf.ru/files/id/press_center/pr/liflet/2018/Otlojennyiy_vyihod_na_pensiyu_-_vyigodno.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pfrf.ru/knopki/zhizn/%7E437" TargetMode="External"/><Relationship Id="rId11" Type="http://schemas.openxmlformats.org/officeDocument/2006/relationships/hyperlink" Target="http://www.pfrf.ru/grazdanam/pensions/vidy_pens/nakop_pens/" TargetMode="External"/><Relationship Id="rId5" Type="http://schemas.openxmlformats.org/officeDocument/2006/relationships/webSettings" Target="webSettings.xml"/><Relationship Id="rId15" Type="http://schemas.openxmlformats.org/officeDocument/2006/relationships/hyperlink" Target="http://www.pfrf.ru/grazdanam/pensions/kak_form_bud_pens/%7E912" TargetMode="External"/><Relationship Id="rId10" Type="http://schemas.openxmlformats.org/officeDocument/2006/relationships/hyperlink" Target="http://www.pfrf.ru/knopki/zhizn/%7E440"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frf.ru/knopki/zhizn/%7E440" TargetMode="External"/><Relationship Id="rId14" Type="http://schemas.openxmlformats.org/officeDocument/2006/relationships/hyperlink" Target="http://www.pfrf.ru/grazdanam/pensions/pens_nak/chto_nuzh_pens_nak/%7E612"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1143</Words>
  <Characters>6517</Characters>
  <Application>Microsoft Office Word</Application>
  <DocSecurity>0</DocSecurity>
  <Lines>54</Lines>
  <Paragraphs>15</Paragraphs>
  <ScaleCrop>false</ScaleCrop>
  <Company/>
  <LinksUpToDate>false</LinksUpToDate>
  <CharactersWithSpaces>7645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2018-08-27T08:54:00Z</dcterms:created>
  <dcterms:modified xsi:type="dcterms:W3CDTF">2018-08-27T08:54:00Z</dcterms:modified>
</cp:coreProperties>
</file>