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О выплате пенсий гражданам, которые признаны банкротами</w:t>
      </w:r>
    </w:p>
    <w:p>
      <w:pPr>
        <w:pStyle w:val="Normal"/>
        <w:rPr/>
      </w:pPr>
      <w:bookmarkStart w:id="0" w:name="Связь банкротства с пенсией"/>
      <w:bookmarkEnd w:id="0"/>
      <w:r>
        <w:rPr/>
        <w:t>Связь банкротства с пенсией</w:t>
      </w:r>
    </w:p>
    <w:p>
      <w:pPr>
        <w:pStyle w:val="Normal"/>
        <w:spacing w:before="0" w:after="283"/>
        <w:rPr/>
      </w:pPr>
      <w:bookmarkStart w:id="1" w:name="Что говорит закон"/>
      <w:bookmarkEnd w:id="1"/>
      <w:r>
        <w:rPr/>
        <w:t xml:space="preserve">Важно, что теперь имеется новый субъект правоотношений, возникающих в связи с несостоятельностью (банкротством), а именно – финансовый управляющий, утверждаемый арбитражным судом в деле о банкротстве конкретного гражданина. Роль финансового управляющего достаточно велика – он фактически управляет процессом банкротства гражданина – должника, в связи с чем наделен широкими полномочиями. Так, финансовый управляющий в ходе реализации имущества гражданина от имени гражданина: распоряжается средствами гражданина на счетах и во вкладах в кредитных организациях; открывает и закрывает счета гражданина в кредитных организациях и др. Ссылаясь на такие полномочия, некоторые финансовые управляющие стали требовать осуществлять выплату назначенной банкротам пенсии на собственные реквизиты. </w:t>
        <w:br/>
        <w:br/>
        <w:t xml:space="preserve">В этом случае необходимо помнить, что в международном сообществе право человека на социальное обеспечение, к которому относится и право на пенсию, является общепризнанным. Во всех фундаментальных актах международного законодательства о правах человека этому праву посвящены отдельные положения. По существу, право на социальное обеспечение относится к тем правам, которые позволяют человеку жить, существовать в обществе, оно наиболее востребовано гражданами. </w:t>
        <w:br/>
        <w:br/>
        <w:t xml:space="preserve">Изложенные обстоятельства предопределяют особое отношение государства и законодателя к порядку пенсионного обеспечения граждан. Поэтому право на получение пенсии в нашей стране гарантируется Конституцией (статьи 7 и 39), а непосредственно условия пенсионного обеспечения устанавливаются законами. </w:t>
      </w:r>
    </w:p>
    <w:p>
      <w:pPr>
        <w:pStyle w:val="Normal"/>
        <w:rPr/>
      </w:pPr>
      <w:r>
        <w:rPr/>
        <w:t>Что говорит закон</w:t>
      </w:r>
    </w:p>
    <w:p>
      <w:pPr>
        <w:pStyle w:val="Normal"/>
        <w:spacing w:before="0" w:after="283"/>
        <w:rPr/>
      </w:pPr>
      <w:r>
        <w:rPr/>
        <w:t xml:space="preserve">При этом в целях недопущения внесения произвольных изменений в правила пенсионного обеспечения в Федеральном законе от 28 декабря 2013 г. </w:t>
      </w:r>
      <w:hyperlink r:id="rId2" w:tgtFrame="_blank">
        <w:r>
          <w:rPr>
            <w:rStyle w:val="Style14"/>
          </w:rPr>
          <w:t>№ 400-ФЗ «О страховых пенсиях»</w:t>
        </w:r>
      </w:hyperlink>
      <w:r>
        <w:rPr/>
        <w:t xml:space="preserve">, содержится норма, предусматривающая, что изменение условий назначения страховых пенсий, норм установления страховых пенсий и порядка выплаты страховых пенсий осуществляется не иначе как путем внесения изменений в названный Закон. Аналогичное положение имеется и в Федеральном законе от 15 декабря 2001 г. «О государственном пенсионном обеспечении в Российской Федерации» (статья 1). </w:t>
        <w:br/>
        <w:br/>
        <w:t xml:space="preserve">Таким образом, </w:t>
      </w:r>
      <w:r>
        <w:rPr>
          <w:b/>
        </w:rPr>
        <w:t>правила выплаты пенсии могут устанавливаться только в самих пенсионных законах, если же нормы о пенсионном обеспечении содержатся в иных законодательных актах</w:t>
      </w:r>
      <w:r>
        <w:rPr/>
        <w:t xml:space="preserve">, то они не должны противоречить положениям специальных пенсионных законов. В случае наличия конкурирующих норм (в специальном пенсионном законе и в ином законодательном акте, который не имеет своей целью регулирование пенсионных правоотношений) </w:t>
      </w:r>
      <w:r>
        <w:rPr>
          <w:u w:val="single"/>
        </w:rPr>
        <w:t>приоритет остается за пенсионным законодательством</w:t>
      </w:r>
      <w:r>
        <w:rPr/>
        <w:t xml:space="preserve">. Такой подход обуславливается, в том числе, международно-признанным и конституционным характером права на пенсионное обеспечение. Порядок выплаты и доставки страховых пенсий, в том числе удержания из сумм указанной пенсии, определен Законом № 400-ФЗ. </w:t>
        <w:br/>
        <w:br/>
        <w:t xml:space="preserve">Согласно </w:t>
      </w:r>
      <w:hyperlink r:id="rId3" w:tgtFrame="_blank">
        <w:r>
          <w:rPr>
            <w:rStyle w:val="Style14"/>
          </w:rPr>
          <w:t>части 12 статьи 21</w:t>
        </w:r>
      </w:hyperlink>
      <w:r>
        <w:rPr/>
        <w:t xml:space="preserve"> указанного Закона выплата страховой пенсии на территории России производится пенсионеру органом, осуществляющим пенсионное обеспечение, в установленном размере без каких-либо ограничений, за исключением ситуации, предусмотренной статьей 26.1 Закона № 400-ФЗ. Как известно, исключение – это выплата пенсий работающим пенсионерам без учета сумм индексаций (увеличений), которые имели место в период осуществления ими трудовой и (или) иной деятельности. Выплата и доставка пенсий являются основными функциями территориальных органов ПФР, выполнение которых позволяет получить гражданам причитающиеся им суммы пенсии, как говорится, «на руки». </w:t>
        <w:br/>
        <w:br/>
        <w:t xml:space="preserve">Согласно нормам Закона № 400-ФЗ доставка пенсии может осуществляться: через кредитные организации; организациями почтовой связи; иными организациями, которые занимаются доставкой пенсий. Выбор организации, которая доставляет пенсию, делается исключительно самим пенсионером путем подачи заявления. Для органов ПФР главное при определении доставщика пенсии – это волеизъявление правомочного лица. </w:t>
      </w:r>
    </w:p>
    <w:p>
      <w:pPr>
        <w:pStyle w:val="Style20"/>
        <w:rPr>
          <w:b/>
        </w:rPr>
      </w:pPr>
      <w:r>
        <w:rPr>
          <w:b/>
        </w:rPr>
        <w:t xml:space="preserve">Каких-либо иных правил, в том числе о выплате и доставке пенсии согласно требованию финансового управляющего иным способом, отличном от указанного в заявлении пенсионера, или на счет самого финансового управляющего пенсионное законодательство не содержит. </w:t>
      </w:r>
    </w:p>
    <w:p>
      <w:pPr>
        <w:pStyle w:val="Style16"/>
        <w:spacing w:before="0" w:after="0"/>
        <w:rPr/>
      </w:pPr>
      <w:r>
        <w:rPr/>
        <w:br/>
        <w:t xml:space="preserve">Зачисление пенсии на банковский счет, открытый на имя финансового управляющего, а не пенсионера, признанного банкротом, законодательством о несостоятельности также не предусматривается.  </w:t>
        <w:br/>
        <w:br/>
        <w:t xml:space="preserve">Учитывая изложенное, </w:t>
      </w:r>
      <w:r>
        <w:rPr>
          <w:b/>
        </w:rPr>
        <w:t xml:space="preserve">выплата и доставка пенсии лицу, признанному банкротом, должна осуществляться согласно его волеизъявлению в порядке, предусмотренном пенсионным законодательством. </w:t>
      </w:r>
      <w:r>
        <w:rPr/>
        <w:br/>
        <w:br/>
        <w:t xml:space="preserve">Одновременно данное правило не отменяет того факта, что при получении от финансовых управляющих надлежаще оформленных запросов территориальные органы ПФР должны довести до их сведения в целях исполнения ими своих полномочий, установленных законодательством о несостоятельности (банкротстве), информацию об организации, осуществляющей доставку пенсии гражданину-должнику, в том числе о реквизитах счета в кредитной организации, на который производится перечисление сумм пенсии. Кстати, интересно, что согласно законодательству о банкротстве гражданин обязан не позднее одного рабочего дня, следующего за днем принятия решения о признании его банкротом, передать финансовому управляющему все имеющиеся у него банковские карты. </w:t>
        <w:br/>
        <w:br/>
        <w:t xml:space="preserve">Учитывая права финансового управляющего в части распоряжения финансовыми средствами гражданина – банкрота, предоставленные ему в рамках действующего правового регулирования, можно констатировать, что порядок выплаты и доставки пенсий, закрепленный в пенсионном законодательстве, нисколько не мешает финансовому управляющему выполнять свои задачи, вмененные ему в обязанности, в отношении гражданина – должника. 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6">
    <w:name w:val="Основной текст"/>
    <w:basedOn w:val="Normal"/>
    <w:pPr>
      <w:spacing w:before="0" w:after="120"/>
    </w:pPr>
    <w:rPr/>
  </w:style>
  <w:style w:type="paragraph" w:styleId="Style17">
    <w:name w:val="Список"/>
    <w:basedOn w:val="Style16"/>
    <w:pPr/>
    <w:rPr>
      <w:rFonts w:cs="Tahoma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Tahoma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consultant.ru%2Fdocument%2Fcons_doc_LAW_156525%2F" TargetMode="External"/><Relationship Id="rId3" Type="http://schemas.openxmlformats.org/officeDocument/2006/relationships/hyperlink" Target="https://vk.com/away.php?to=http%3A%2F%2Fwww.consultant.ru%2Fdocument%2Fcons_doc_LAW_156525%2F0db560ee670c373ce36e5d5eb32f9a9ad1262722%2F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LibreOffice/5.1.1.3$Windows_x86 LibreOffice_project/89f508ef3ecebd2cfb8e1def0f0ba9a803b88a6d</Application>
  <Pages>2</Pages>
  <Words>700</Words>
  <Characters>5037</Characters>
  <CharactersWithSpaces>5760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2016-11-23T12:19:38Z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