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_rels/document.xml.rels" ContentType="application/vnd.openxmlformats-package.relationships+xml"/>
  <Override PartName="/word/footer6.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footer5.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oter4.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rFonts w:ascii="Times New Roman" w:cs="Times New Roman" w:hAnsi="Times New Roman"/>
          <w:b/>
          <w:sz w:val="24"/>
          <w:szCs w:val="24"/>
        </w:rPr>
        <w:t>Содержание</w:t>
      </w:r>
    </w:p>
    <w:p>
      <w:pPr>
        <w:sectPr>
          <w:footerReference r:id="rId2" w:type="default"/>
          <w:type w:val="nextPage"/>
          <w:pgSz w:h="16838" w:w="11906"/>
          <w:pgMar w:bottom="1134" w:footer="680" w:gutter="0" w:header="0" w:left="1134" w:right="850" w:top="1134"/>
          <w:pgNumType w:fmt="decimal"/>
          <w:formProt w:val="false"/>
          <w:textDirection w:val="lrTb"/>
          <w:docGrid w:charSpace="4096" w:linePitch="360" w:type="default"/>
        </w:sectPr>
      </w:pPr>
    </w:p>
    <w:p>
      <w:pPr>
        <w:pStyle w:val="style32"/>
        <w:tabs>
          <w:tab w:leader="dot" w:pos="9922" w:val="right"/>
        </w:tabs>
      </w:pPr>
      <w:r>
        <w:fldChar w:fldCharType="begin"/>
      </w:r>
      <w:r>
        <w:instrText> TOC </w:instrText>
      </w:r>
      <w:r>
        <w:fldChar w:fldCharType="separate"/>
      </w:r>
      <w:hyperlink w:anchor="__RefHeading__3188_1577988068">
        <w:r>
          <w:rPr>
            <w:rStyle w:val="style23"/>
          </w:rPr>
          <w:t>1 Общая часть</w:t>
          <w:tab/>
          <w:t>2</w:t>
        </w:r>
      </w:hyperlink>
    </w:p>
    <w:p>
      <w:pPr>
        <w:pStyle w:val="style32"/>
        <w:tabs>
          <w:tab w:leader="dot" w:pos="9922" w:val="right"/>
        </w:tabs>
      </w:pPr>
      <w:hyperlink w:anchor="__RefHeading__3190_1577988068">
        <w:r>
          <w:rPr>
            <w:rStyle w:val="style23"/>
          </w:rPr>
          <w:t>1.2.1 Общая характеристика систем теплоснабжения</w:t>
          <w:tab/>
          <w:t>2</w:t>
        </w:r>
      </w:hyperlink>
    </w:p>
    <w:p>
      <w:pPr>
        <w:pStyle w:val="style32"/>
        <w:tabs>
          <w:tab w:leader="dot" w:pos="9922" w:val="right"/>
        </w:tabs>
      </w:pPr>
      <w:hyperlink w:anchor="__RefHeading__3192_1577988068">
        <w:r>
          <w:rPr>
            <w:rStyle w:val="style23"/>
          </w:rPr>
          <w:t>1.2.2 Установленная и располагаемая мощность энергоисточников</w:t>
          <w:tab/>
          <w:t>2</w:t>
        </w:r>
      </w:hyperlink>
    </w:p>
    <w:p>
      <w:pPr>
        <w:pStyle w:val="style32"/>
        <w:tabs>
          <w:tab w:leader="dot" w:pos="9922" w:val="right"/>
        </w:tabs>
      </w:pPr>
      <w:hyperlink w:anchor="__RefHeading__3194_1577988068">
        <w:r>
          <w:rPr>
            <w:rStyle w:val="style23"/>
          </w:rPr>
          <w:t xml:space="preserve">1.2.3 Отпуск тепла и топливопотребление энергоисточника </w:t>
          <w:tab/>
          <w:t>3</w:t>
        </w:r>
      </w:hyperlink>
    </w:p>
    <w:p>
      <w:pPr>
        <w:pStyle w:val="style32"/>
        <w:tabs>
          <w:tab w:leader="dot" w:pos="9922" w:val="right"/>
        </w:tabs>
      </w:pPr>
      <w:hyperlink w:anchor="__RefHeading__3196_1577988068">
        <w:r>
          <w:rPr>
            <w:rStyle w:val="style23"/>
          </w:rPr>
          <w:t>1.2.3.1 Топливный баланс</w:t>
          <w:tab/>
          <w:t>3</w:t>
        </w:r>
      </w:hyperlink>
    </w:p>
    <w:p>
      <w:pPr>
        <w:pStyle w:val="style32"/>
        <w:tabs>
          <w:tab w:leader="dot" w:pos="9922" w:val="right"/>
        </w:tabs>
      </w:pPr>
      <w:hyperlink w:anchor="__RefHeading__3198_1577988068">
        <w:r>
          <w:rPr>
            <w:rStyle w:val="style23"/>
          </w:rPr>
          <w:t>1.2.4. Тепловые сети</w:t>
          <w:tab/>
          <w:t>3</w:t>
        </w:r>
      </w:hyperlink>
    </w:p>
    <w:p>
      <w:pPr>
        <w:pStyle w:val="style32"/>
        <w:tabs>
          <w:tab w:leader="dot" w:pos="9922" w:val="right"/>
        </w:tabs>
      </w:pPr>
      <w:hyperlink w:anchor="__RefHeading__3200_1577988068">
        <w:r>
          <w:rPr>
            <w:rStyle w:val="style23"/>
          </w:rPr>
          <w:t>1.3 Основные проблемы организации теплоснабжения</w:t>
          <w:tab/>
          <w:t>5</w:t>
        </w:r>
      </w:hyperlink>
    </w:p>
    <w:p>
      <w:pPr>
        <w:pStyle w:val="style32"/>
        <w:tabs>
          <w:tab w:leader="dot" w:pos="9922" w:val="right"/>
        </w:tabs>
      </w:pPr>
      <w:hyperlink w:anchor="__RefHeading__3202_1577988068">
        <w:r>
          <w:rPr>
            <w:rStyle w:val="style23"/>
          </w:rPr>
          <w:t>1.3.1 Описание существующих проблем развития систем теплоснабжения</w:t>
          <w:tab/>
          <w:t>5</w:t>
        </w:r>
      </w:hyperlink>
    </w:p>
    <w:p>
      <w:pPr>
        <w:pStyle w:val="style32"/>
        <w:tabs>
          <w:tab w:leader="dot" w:pos="9922" w:val="right"/>
        </w:tabs>
      </w:pPr>
      <w:hyperlink w:anchor="__RefHeading__3204_1577988068">
        <w:r>
          <w:rPr>
            <w:rStyle w:val="style23"/>
          </w:rPr>
          <w:t>1.4 Основные положения технической политики</w:t>
          <w:tab/>
          <w:t>5</w:t>
        </w:r>
      </w:hyperlink>
    </w:p>
    <w:p>
      <w:pPr>
        <w:pStyle w:val="style32"/>
        <w:tabs>
          <w:tab w:leader="dot" w:pos="9922" w:val="right"/>
        </w:tabs>
      </w:pPr>
      <w:hyperlink w:anchor="__RefHeading__3206_1577988068">
        <w:r>
          <w:rPr>
            <w:rStyle w:val="style23"/>
          </w:rPr>
          <w:t xml:space="preserve">1.5 Целевые показатели эффективности работы систем теплоснабжения  </w:t>
          <w:tab/>
          <w:t>5</w:t>
        </w:r>
      </w:hyperlink>
    </w:p>
    <w:p>
      <w:pPr>
        <w:pStyle w:val="style32"/>
        <w:tabs>
          <w:tab w:leader="dot" w:pos="9922" w:val="right"/>
        </w:tabs>
      </w:pPr>
      <w:hyperlink w:anchor="__RefHeading__3208_1577988068">
        <w:r>
          <w:rPr>
            <w:rStyle w:val="style23"/>
          </w:rPr>
          <w:t xml:space="preserve">1.6 Состав документов схемы теплоснабжения </w:t>
          <w:tab/>
          <w:t>6</w:t>
        </w:r>
      </w:hyperlink>
    </w:p>
    <w:p>
      <w:pPr>
        <w:pStyle w:val="style32"/>
        <w:tabs>
          <w:tab w:leader="dot" w:pos="9922" w:val="right"/>
        </w:tabs>
      </w:pPr>
      <w:hyperlink w:anchor="__RefHeading__3210_1577988068">
        <w:r>
          <w:rPr>
            <w:rStyle w:val="style23"/>
          </w:rPr>
          <w:t>2. Показатели перспективного спроса на тепловую энергию (мощность) и теплоноситель в установленных границах п. Дубитель</w:t>
          <w:tab/>
          <w:t>7</w:t>
        </w:r>
      </w:hyperlink>
    </w:p>
    <w:p>
      <w:pPr>
        <w:pStyle w:val="style32"/>
        <w:tabs>
          <w:tab w:leader="dot" w:pos="9922" w:val="right"/>
        </w:tabs>
      </w:pPr>
      <w:hyperlink w:anchor="__RefHeading__3212_1577988068">
        <w:r>
          <w:rPr>
            <w:rStyle w:val="style23"/>
          </w:rPr>
          <w:t>2.1. Общие положения</w:t>
          <w:tab/>
          <w:t>7</w:t>
        </w:r>
      </w:hyperlink>
    </w:p>
    <w:p>
      <w:pPr>
        <w:pStyle w:val="style32"/>
        <w:tabs>
          <w:tab w:leader="dot" w:pos="9922" w:val="right"/>
        </w:tabs>
      </w:pPr>
      <w:hyperlink w:anchor="__RefHeading__3214_1577988068">
        <w:r>
          <w:rPr>
            <w:rStyle w:val="style23"/>
          </w:rPr>
          <w:t xml:space="preserve">2.2 Прогноз перспективной застройки </w:t>
          <w:tab/>
          <w:t>7</w:t>
        </w:r>
      </w:hyperlink>
    </w:p>
    <w:p>
      <w:pPr>
        <w:pStyle w:val="style32"/>
        <w:tabs>
          <w:tab w:leader="dot" w:pos="9922" w:val="right"/>
        </w:tabs>
      </w:pPr>
      <w:hyperlink w:anchor="__RefHeading__3216_1577988068">
        <w:r>
          <w:rPr>
            <w:rStyle w:val="style23"/>
          </w:rPr>
          <w:t>3. Перспективные балансы тепловой мощности источников тепловой энергии и тепловой нагрузки потребителей.</w:t>
          <w:tab/>
          <w:t>7</w:t>
        </w:r>
      </w:hyperlink>
    </w:p>
    <w:p>
      <w:pPr>
        <w:pStyle w:val="style32"/>
        <w:tabs>
          <w:tab w:leader="dot" w:pos="9922" w:val="right"/>
        </w:tabs>
      </w:pPr>
      <w:hyperlink w:anchor="__RefHeading__3218_1577988068">
        <w:r>
          <w:rPr>
            <w:rStyle w:val="style23"/>
          </w:rPr>
          <w:t xml:space="preserve">3.1 Балансы мощности по отдельным теплоисточникам за 2015 год </w:t>
          <w:tab/>
          <w:t>8</w:t>
        </w:r>
      </w:hyperlink>
    </w:p>
    <w:p>
      <w:pPr>
        <w:pStyle w:val="style32"/>
        <w:tabs>
          <w:tab w:leader="dot" w:pos="9922" w:val="right"/>
        </w:tabs>
      </w:pPr>
      <w:hyperlink w:anchor="__RefHeading__3220_1577988068">
        <w:r>
          <w:rPr>
            <w:rStyle w:val="style23"/>
          </w:rPr>
          <w:t>3.2. Баланс располагаемой тепловой мощности и присоединенной тепловой нагрузки на перспективу до 2030 г. с выделением этапов в 2015-2020г.г., 2020-2025г.г., 2025-2030г.г., при развитии систем теплоснабжения.</w:t>
          <w:tab/>
          <w:t>8</w:t>
        </w:r>
      </w:hyperlink>
    </w:p>
    <w:p>
      <w:pPr>
        <w:pStyle w:val="style32"/>
        <w:tabs>
          <w:tab w:leader="dot" w:pos="9922" w:val="right"/>
        </w:tabs>
      </w:pPr>
      <w:hyperlink w:anchor="__RefHeading__3222_1577988068">
        <w:r>
          <w:rPr>
            <w:rStyle w:val="style23"/>
          </w:rPr>
          <w:t>3.2.1 Баланс располагаемой тепловой мощности по состоянию на 2020 г.</w:t>
          <w:tab/>
          <w:t>8</w:t>
        </w:r>
      </w:hyperlink>
    </w:p>
    <w:p>
      <w:pPr>
        <w:pStyle w:val="style32"/>
        <w:tabs>
          <w:tab w:leader="dot" w:pos="9922" w:val="right"/>
        </w:tabs>
      </w:pPr>
      <w:hyperlink w:anchor="__RefHeading__3224_1577988068">
        <w:r>
          <w:rPr>
            <w:rStyle w:val="style23"/>
          </w:rPr>
          <w:t>3.2.2. Баланс располагаемой тепловой мощности по состоянию на 2020-2025 г.г.</w:t>
          <w:tab/>
          <w:t>9</w:t>
        </w:r>
      </w:hyperlink>
    </w:p>
    <w:p>
      <w:pPr>
        <w:pStyle w:val="style32"/>
        <w:tabs>
          <w:tab w:leader="dot" w:pos="9922" w:val="right"/>
        </w:tabs>
      </w:pPr>
      <w:hyperlink w:anchor="__RefHeading__3226_1577988068">
        <w:r>
          <w:rPr>
            <w:rStyle w:val="style23"/>
          </w:rPr>
          <w:t>3.2.3. Баланс располагаемой тепловой мощности по состоянию на 2025-2030 г.г.</w:t>
          <w:tab/>
          <w:t>10</w:t>
        </w:r>
      </w:hyperlink>
    </w:p>
    <w:p>
      <w:pPr>
        <w:pStyle w:val="style32"/>
        <w:tabs>
          <w:tab w:leader="dot" w:pos="9922" w:val="right"/>
        </w:tabs>
      </w:pPr>
      <w:hyperlink w:anchor="__RefHeading__3228_1577988068">
        <w:r>
          <w:rPr>
            <w:rStyle w:val="style23"/>
          </w:rPr>
          <w:t xml:space="preserve">3.2.4.  Выводы о резервах (дефицитах) тепловой мощности существующей системы теплоснабжения при обеспечении перспективной тепловой нагрузки </w:t>
          <w:tab/>
          <w:t>10</w:t>
        </w:r>
      </w:hyperlink>
    </w:p>
    <w:p>
      <w:pPr>
        <w:pStyle w:val="style32"/>
        <w:tabs>
          <w:tab w:leader="dot" w:pos="9922" w:val="right"/>
        </w:tabs>
      </w:pPr>
      <w:hyperlink w:anchor="__RefHeading__3230_1577988068">
        <w:r>
          <w:rPr>
            <w:rStyle w:val="style23"/>
          </w:rPr>
          <w:t>4. Перспективные балансы теплоносителя</w:t>
          <w:tab/>
          <w:t>11</w:t>
        </w:r>
      </w:hyperlink>
    </w:p>
    <w:p>
      <w:pPr>
        <w:pStyle w:val="style32"/>
        <w:tabs>
          <w:tab w:leader="dot" w:pos="9922" w:val="right"/>
        </w:tabs>
      </w:pPr>
      <w:hyperlink w:anchor="__RefHeading__3232_1577988068">
        <w:r>
          <w:rPr>
            <w:rStyle w:val="style23"/>
          </w:rPr>
          <w:t>4.1. Перспективные объемы теплоносителя</w:t>
          <w:tab/>
          <w:t>11</w:t>
        </w:r>
      </w:hyperlink>
    </w:p>
    <w:p>
      <w:pPr>
        <w:pStyle w:val="style32"/>
        <w:tabs>
          <w:tab w:leader="dot" w:pos="9922" w:val="right"/>
        </w:tabs>
      </w:pPr>
      <w:hyperlink w:anchor="__RefHeading__3234_1577988068">
        <w:r>
          <w:rPr>
            <w:rStyle w:val="style23"/>
          </w:rPr>
          <w:t>4.2 Аварийные режимы подпитки тепловой сети</w:t>
          <w:tab/>
          <w:t>13</w:t>
        </w:r>
      </w:hyperlink>
    </w:p>
    <w:p>
      <w:pPr>
        <w:pStyle w:val="style32"/>
        <w:tabs>
          <w:tab w:leader="dot" w:pos="9922" w:val="right"/>
        </w:tabs>
      </w:pPr>
      <w:hyperlink w:anchor="__RefHeading__3236_1577988068">
        <w:r>
          <w:rPr>
            <w:rStyle w:val="style23"/>
          </w:rPr>
          <w:t>5. Предложения по строительству и реконструкции и техническому перевооружению источников тепловой энергии.</w:t>
          <w:tab/>
          <w:t>13</w:t>
        </w:r>
      </w:hyperlink>
    </w:p>
    <w:p>
      <w:pPr>
        <w:pStyle w:val="style32"/>
        <w:tabs>
          <w:tab w:leader="dot" w:pos="9922" w:val="right"/>
        </w:tabs>
      </w:pPr>
      <w:hyperlink w:anchor="__RefHeading__3238_1577988068">
        <w:r>
          <w:rPr>
            <w:rStyle w:val="style23"/>
          </w:rPr>
          <w:t xml:space="preserve">5.1 Техническое перевооружение источников теплоснабжения в период с 2015 до 2020 г.г. </w:t>
          <w:tab/>
          <w:t>13</w:t>
        </w:r>
      </w:hyperlink>
    </w:p>
    <w:p>
      <w:pPr>
        <w:pStyle w:val="style32"/>
        <w:tabs>
          <w:tab w:leader="dot" w:pos="9922" w:val="right"/>
        </w:tabs>
      </w:pPr>
      <w:hyperlink w:anchor="__RefHeading__3240_1577988068">
        <w:r>
          <w:rPr>
            <w:rStyle w:val="style23"/>
          </w:rPr>
          <w:t>5. 1.1. Реконструкция котельной</w:t>
          <w:tab/>
          <w:t>13</w:t>
        </w:r>
      </w:hyperlink>
    </w:p>
    <w:p>
      <w:pPr>
        <w:pStyle w:val="style32"/>
        <w:tabs>
          <w:tab w:leader="dot" w:pos="9922" w:val="right"/>
        </w:tabs>
      </w:pPr>
      <w:hyperlink w:anchor="__RefHeading__3242_1577988068">
        <w:r>
          <w:rPr>
            <w:rStyle w:val="style23"/>
          </w:rPr>
          <w:t xml:space="preserve">6. Предложения по строительству, реконструкции и техническому перевооружению тепловых сетей и сооружений на них </w:t>
          <w:tab/>
          <w:t>14</w:t>
        </w:r>
      </w:hyperlink>
    </w:p>
    <w:p>
      <w:pPr>
        <w:pStyle w:val="style32"/>
        <w:tabs>
          <w:tab w:leader="dot" w:pos="9922" w:val="right"/>
        </w:tabs>
      </w:pPr>
      <w:hyperlink w:anchor="__RefHeading__3244_1577988068">
        <w:r>
          <w:rPr>
            <w:rStyle w:val="style23"/>
          </w:rPr>
          <w:t>6.1 Общие положения</w:t>
          <w:tab/>
          <w:t>14</w:t>
        </w:r>
      </w:hyperlink>
    </w:p>
    <w:p>
      <w:pPr>
        <w:pStyle w:val="style32"/>
        <w:tabs>
          <w:tab w:leader="dot" w:pos="9922" w:val="right"/>
        </w:tabs>
      </w:pPr>
      <w:hyperlink w:anchor="__RefHeading__3246_1577988068">
        <w:r>
          <w:rPr>
            <w:rStyle w:val="style23"/>
          </w:rPr>
          <w:t>6.2 Структура предложений и проектов по теплоснабжению объектов перспективной застройки</w:t>
          <w:tab/>
          <w:t>14</w:t>
        </w:r>
      </w:hyperlink>
    </w:p>
    <w:p>
      <w:pPr>
        <w:pStyle w:val="style32"/>
        <w:tabs>
          <w:tab w:leader="dot" w:pos="9922" w:val="right"/>
        </w:tabs>
      </w:pPr>
      <w:hyperlink w:anchor="__RefHeading__3248_1577988068">
        <w:r>
          <w:rPr>
            <w:rStyle w:val="style23"/>
          </w:rPr>
          <w:t>6.2.1 Структура предложений</w:t>
          <w:tab/>
          <w:t>14</w:t>
        </w:r>
      </w:hyperlink>
    </w:p>
    <w:p>
      <w:pPr>
        <w:pStyle w:val="style32"/>
        <w:tabs>
          <w:tab w:leader="dot" w:pos="9922" w:val="right"/>
        </w:tabs>
      </w:pPr>
      <w:hyperlink w:anchor="__RefHeading__3250_1577988068">
        <w:r>
          <w:rPr>
            <w:rStyle w:val="style23"/>
          </w:rPr>
          <w:t>6.2.2 Предложение по новому строительству, реконструкции и техническому перевооружению тепловых сетей для обеспечения перспективной нагрузки</w:t>
          <w:tab/>
          <w:t>14</w:t>
        </w:r>
      </w:hyperlink>
    </w:p>
    <w:p>
      <w:pPr>
        <w:pStyle w:val="style32"/>
        <w:tabs>
          <w:tab w:leader="dot" w:pos="9922" w:val="right"/>
        </w:tabs>
      </w:pPr>
      <w:hyperlink w:anchor="__RefHeading__3252_1577988068">
        <w:r>
          <w:rPr>
            <w:rStyle w:val="style23"/>
          </w:rPr>
          <w:t>6.2.3 Финансовая потребность для реализации проекта</w:t>
          <w:tab/>
          <w:t>15</w:t>
        </w:r>
      </w:hyperlink>
    </w:p>
    <w:p>
      <w:pPr>
        <w:pStyle w:val="style32"/>
        <w:tabs>
          <w:tab w:leader="dot" w:pos="9922" w:val="right"/>
        </w:tabs>
      </w:pPr>
      <w:hyperlink w:anchor="__RefHeading__3254_1577988068">
        <w:r>
          <w:rPr>
            <w:rStyle w:val="style23"/>
          </w:rPr>
          <w:t xml:space="preserve">6.3 Реконструкция тепловых сетей с оптимизацией диаметров трубопроводов </w:t>
          <w:tab/>
          <w:t>16</w:t>
        </w:r>
      </w:hyperlink>
    </w:p>
    <w:p>
      <w:pPr>
        <w:pStyle w:val="style32"/>
        <w:tabs>
          <w:tab w:leader="dot" w:pos="9922" w:val="right"/>
        </w:tabs>
      </w:pPr>
      <w:hyperlink w:anchor="__RefHeading__3256_1577988068">
        <w:r>
          <w:rPr>
            <w:rStyle w:val="style23"/>
          </w:rPr>
          <w:t>7 Перспективные топливные балансы</w:t>
          <w:tab/>
          <w:t>21</w:t>
        </w:r>
      </w:hyperlink>
    </w:p>
    <w:p>
      <w:pPr>
        <w:pStyle w:val="style32"/>
        <w:tabs>
          <w:tab w:leader="dot" w:pos="9922" w:val="right"/>
        </w:tabs>
      </w:pPr>
      <w:hyperlink w:anchor="__RefHeading__3258_1577988068">
        <w:r>
          <w:rPr>
            <w:rStyle w:val="style23"/>
          </w:rPr>
          <w:t>7.1. Перспективные топливные балансы источников теплоснабжения по котельной ЖКХ «Зубово-Поляна»</w:t>
          <w:tab/>
          <w:t>21</w:t>
        </w:r>
      </w:hyperlink>
    </w:p>
    <w:p>
      <w:pPr>
        <w:pStyle w:val="style32"/>
        <w:tabs>
          <w:tab w:leader="dot" w:pos="9922" w:val="right"/>
        </w:tabs>
      </w:pPr>
      <w:hyperlink w:anchor="__RefHeading__3260_1577988068">
        <w:r>
          <w:rPr>
            <w:rStyle w:val="style23"/>
          </w:rPr>
          <w:t>Зона действия котельной ЖКХ «Зубово-Поляна»</w:t>
          <w:tab/>
          <w:t>22</w:t>
        </w:r>
      </w:hyperlink>
    </w:p>
    <w:p>
      <w:pPr>
        <w:pStyle w:val="style32"/>
        <w:tabs>
          <w:tab w:leader="dot" w:pos="9922" w:val="right"/>
        </w:tabs>
      </w:pPr>
      <w:hyperlink w:anchor="__RefHeading__3262_1577988068">
        <w:r>
          <w:rPr>
            <w:rStyle w:val="style23"/>
          </w:rPr>
          <w:t xml:space="preserve">8 Инвестиции в строительство, реконструкцию и техническое перевооружение </w:t>
          <w:tab/>
          <w:t>23</w:t>
        </w:r>
      </w:hyperlink>
    </w:p>
    <w:p>
      <w:pPr>
        <w:pStyle w:val="style32"/>
        <w:tabs>
          <w:tab w:leader="dot" w:pos="9922" w:val="right"/>
        </w:tabs>
      </w:pPr>
      <w:hyperlink w:anchor="__RefHeading__3264_1577988068">
        <w:r>
          <w:rPr>
            <w:rStyle w:val="style23"/>
          </w:rPr>
          <w:t xml:space="preserve">8.1 Общие положения </w:t>
          <w:tab/>
          <w:t>23</w:t>
        </w:r>
      </w:hyperlink>
    </w:p>
    <w:p>
      <w:pPr>
        <w:pStyle w:val="style32"/>
        <w:tabs>
          <w:tab w:leader="dot" w:pos="9922" w:val="right"/>
        </w:tabs>
      </w:pPr>
      <w:hyperlink w:anchor="__RefHeading__3266_1577988068">
        <w:r>
          <w:rPr>
            <w:rStyle w:val="style23"/>
          </w:rPr>
          <w:t>8.2 Инвестиции в техническое перевооружение котельных п. Дубитель</w:t>
          <w:tab/>
          <w:t>23</w:t>
        </w:r>
      </w:hyperlink>
    </w:p>
    <w:p>
      <w:pPr>
        <w:pStyle w:val="style32"/>
        <w:tabs>
          <w:tab w:leader="dot" w:pos="9922" w:val="right"/>
        </w:tabs>
      </w:pPr>
      <w:hyperlink w:anchor="__RefHeading__3268_1577988068">
        <w:r>
          <w:rPr>
            <w:rStyle w:val="style23"/>
          </w:rPr>
          <w:t>8.3. Инвестиции в строительство, реконструкцию и техническое перевооружение тепловых сетей и сооружений на них</w:t>
          <w:tab/>
          <w:t>23</w:t>
        </w:r>
      </w:hyperlink>
    </w:p>
    <w:p>
      <w:pPr>
        <w:pStyle w:val="style32"/>
        <w:tabs>
          <w:tab w:leader="dot" w:pos="9922" w:val="right"/>
        </w:tabs>
      </w:pPr>
      <w:hyperlink w:anchor="__RefHeading__3270_1577988068">
        <w:r>
          <w:rPr>
            <w:rStyle w:val="style23"/>
          </w:rPr>
          <w:t>9 Решение об определении единой теплоснабжающей организации (организаций)</w:t>
          <w:tab/>
          <w:t>24</w:t>
        </w:r>
      </w:hyperlink>
    </w:p>
    <w:p>
      <w:pPr>
        <w:pStyle w:val="style32"/>
        <w:tabs>
          <w:tab w:leader="dot" w:pos="9922" w:val="right"/>
        </w:tabs>
      </w:pPr>
      <w:hyperlink w:anchor="__RefHeading__3272_1577988068">
        <w:r>
          <w:rPr>
            <w:rStyle w:val="style23"/>
          </w:rPr>
          <w:t xml:space="preserve">10 Решения о распределении тепловой нагрузки между источниками тепловой энергий </w:t>
          <w:tab/>
          <w:t>24</w:t>
        </w:r>
      </w:hyperlink>
    </w:p>
    <w:p>
      <w:pPr>
        <w:pStyle w:val="style32"/>
        <w:tabs>
          <w:tab w:leader="dot" w:pos="9922" w:val="right"/>
        </w:tabs>
      </w:pPr>
      <w:hyperlink w:anchor="__RefHeading__3274_1577988068">
        <w:r>
          <w:rPr>
            <w:rStyle w:val="style23"/>
          </w:rPr>
          <w:t xml:space="preserve">11 Решения по бесхозяйным тепловым сетям </w:t>
          <w:tab/>
          <w:t>24</w:t>
        </w:r>
      </w:hyperlink>
      <w:r>
        <w:fldChar w:fldCharType="end"/>
      </w:r>
    </w:p>
    <w:p>
      <w:pPr>
        <w:sectPr>
          <w:type w:val="continuous"/>
          <w:pgSz w:h="16838" w:w="11906"/>
          <w:pgMar w:bottom="1134" w:footer="680" w:gutter="0" w:header="0" w:left="1134" w:right="850" w:top="1134"/>
          <w:formProt/>
          <w:textDirection w:val="lrTb"/>
          <w:docGrid w:charSpace="4096" w:linePitch="360" w:type="default"/>
        </w:sectPr>
      </w:pPr>
    </w:p>
    <w:p>
      <w:pPr>
        <w:pStyle w:val="style0"/>
        <w:jc w:val="center"/>
      </w:pPr>
      <w:hyperlink w:anchor="_Toc445886179">
        <w:r>
          <w:rPr/>
        </w:r>
      </w:hyperlink>
    </w:p>
    <w:p>
      <w:pPr>
        <w:pStyle w:val="style0"/>
      </w:pPr>
      <w:bookmarkStart w:id="0" w:name="_Toc443471020"/>
      <w:bookmarkStart w:id="1" w:name="_Toc443471008"/>
      <w:bookmarkStart w:id="2" w:name="_Toc443471020"/>
      <w:bookmarkStart w:id="3" w:name="_Toc443471008"/>
      <w:r>
        <w:rPr>
          <w:rFonts w:ascii="Times New Roman" w:cs="" w:hAnsi="Times New Roman"/>
          <w:b/>
          <w:bCs/>
          <w:sz w:val="24"/>
          <w:szCs w:val="24"/>
        </w:rPr>
      </w:r>
    </w:p>
    <w:p>
      <w:pPr>
        <w:pStyle w:val="style1"/>
        <w:pageBreakBefore/>
        <w:ind w:firstLine="709" w:left="0" w:right="0"/>
      </w:pPr>
      <w:bookmarkStart w:id="4" w:name="_Toc443471020"/>
      <w:bookmarkStart w:id="5" w:name="_Toc443471008"/>
      <w:bookmarkStart w:id="6" w:name="__RefHeading__3188_1577988068"/>
      <w:bookmarkStart w:id="7" w:name="_Toc445886179"/>
      <w:bookmarkEnd w:id="6"/>
      <w:bookmarkEnd w:id="4"/>
      <w:bookmarkEnd w:id="5"/>
      <w:bookmarkEnd w:id="7"/>
      <w:r>
        <w:rPr>
          <w:rFonts w:ascii="Times New Roman" w:cs="Times New Roman" w:hAnsi="Times New Roman"/>
          <w:color w:val="00000A"/>
          <w:sz w:val="24"/>
          <w:szCs w:val="24"/>
        </w:rPr>
        <w:t>1 Общая часть</w:t>
      </w:r>
    </w:p>
    <w:p>
      <w:pPr>
        <w:pStyle w:val="style29"/>
        <w:numPr>
          <w:ilvl w:val="1"/>
          <w:numId w:val="1"/>
        </w:numPr>
        <w:tabs>
          <w:tab w:leader="none" w:pos="1860" w:val="left"/>
        </w:tabs>
        <w:spacing w:after="0" w:before="0" w:line="100" w:lineRule="atLeast"/>
        <w:ind w:hanging="218" w:left="720" w:right="0"/>
        <w:contextualSpacing/>
      </w:pPr>
      <w:bookmarkStart w:id="8" w:name="_Toc445886180"/>
      <w:bookmarkEnd w:id="8"/>
      <w:r>
        <w:rPr>
          <w:rFonts w:ascii="Times New Roman" w:cs="Times New Roman" w:hAnsi="Times New Roman"/>
          <w:b/>
          <w:sz w:val="24"/>
          <w:szCs w:val="24"/>
        </w:rPr>
        <w:t>Территория и климат</w:t>
      </w:r>
    </w:p>
    <w:p>
      <w:pPr>
        <w:pStyle w:val="style0"/>
        <w:tabs>
          <w:tab w:leader="none" w:pos="1140" w:val="left"/>
        </w:tabs>
        <w:spacing w:after="0" w:before="0" w:line="100" w:lineRule="atLeast"/>
        <w:ind w:firstLine="567" w:left="0" w:right="0"/>
        <w:contextualSpacing w:val="false"/>
      </w:pPr>
      <w:r>
        <w:rPr>
          <w:rFonts w:ascii="Times New Roman" w:cs="Times New Roman" w:hAnsi="Times New Roman"/>
          <w:b/>
          <w:sz w:val="24"/>
          <w:szCs w:val="24"/>
        </w:rPr>
      </w:r>
    </w:p>
    <w:p>
      <w:pPr>
        <w:pStyle w:val="style0"/>
        <w:spacing w:after="0" w:before="0" w:line="100" w:lineRule="atLeast"/>
        <w:ind w:firstLine="709" w:left="0" w:right="0"/>
        <w:contextualSpacing w:val="false"/>
        <w:jc w:val="both"/>
      </w:pPr>
      <w:r>
        <w:rPr>
          <w:rFonts w:ascii="Times New Roman" w:hAnsi="Times New Roman"/>
          <w:sz w:val="24"/>
          <w:szCs w:val="24"/>
        </w:rPr>
        <w:t>Дубительское сельское поселение является муниципальным образованием и входит в состав Зубово-Полянского муниципального района Республики Мордовия.</w:t>
      </w:r>
    </w:p>
    <w:p>
      <w:pPr>
        <w:pStyle w:val="style0"/>
        <w:spacing w:after="0" w:before="0" w:line="100" w:lineRule="atLeast"/>
        <w:ind w:firstLine="709" w:left="0" w:right="0"/>
        <w:contextualSpacing w:val="false"/>
        <w:jc w:val="both"/>
      </w:pPr>
      <w:r>
        <w:rPr>
          <w:rFonts w:ascii="Times New Roman" w:hAnsi="Times New Roman"/>
          <w:sz w:val="24"/>
          <w:szCs w:val="24"/>
        </w:rPr>
        <w:t> </w:t>
      </w:r>
      <w:r>
        <w:rPr>
          <w:rFonts w:ascii="Times New Roman" w:hAnsi="Times New Roman"/>
          <w:sz w:val="24"/>
          <w:szCs w:val="24"/>
        </w:rPr>
        <w:t>Дубительское сельское поселение  наделено законом Республики Мордовия  статусом сельского поселения.</w:t>
      </w:r>
    </w:p>
    <w:p>
      <w:pPr>
        <w:pStyle w:val="style0"/>
        <w:spacing w:after="0" w:before="0" w:line="100" w:lineRule="atLeast"/>
        <w:ind w:firstLine="709" w:left="0" w:right="0"/>
        <w:contextualSpacing w:val="false"/>
        <w:jc w:val="both"/>
      </w:pPr>
      <w:r>
        <w:rPr>
          <w:rFonts w:ascii="Times New Roman" w:hAnsi="Times New Roman"/>
          <w:sz w:val="24"/>
          <w:szCs w:val="24"/>
        </w:rPr>
        <w:t> </w:t>
      </w:r>
      <w:r>
        <w:rPr>
          <w:rFonts w:ascii="Times New Roman" w:hAnsi="Times New Roman"/>
          <w:sz w:val="24"/>
          <w:szCs w:val="24"/>
        </w:rPr>
        <w:t>Полное официальное наименование Дубительского сельского поселения - Дубительское сельское поселение Зубово-Полянского муниципального района Республики Мордовия.</w:t>
      </w:r>
    </w:p>
    <w:p>
      <w:pPr>
        <w:pStyle w:val="style0"/>
        <w:spacing w:after="0" w:before="0" w:line="100" w:lineRule="atLeast"/>
        <w:ind w:firstLine="709" w:left="0" w:right="0"/>
        <w:contextualSpacing w:val="false"/>
        <w:jc w:val="both"/>
      </w:pPr>
      <w:r>
        <w:rPr>
          <w:rFonts w:ascii="Times New Roman" w:hAnsi="Times New Roman"/>
          <w:sz w:val="24"/>
          <w:szCs w:val="24"/>
        </w:rPr>
        <w:t>Сокращенное официальное наименование муниципального образования - Дубительское сельское поселение.</w:t>
      </w:r>
    </w:p>
    <w:p>
      <w:pPr>
        <w:pStyle w:val="style0"/>
        <w:spacing w:after="0" w:before="0" w:line="100" w:lineRule="atLeast"/>
        <w:ind w:firstLine="709" w:left="0" w:right="0"/>
        <w:contextualSpacing w:val="false"/>
        <w:jc w:val="both"/>
      </w:pPr>
      <w:r>
        <w:rPr>
          <w:rFonts w:ascii="Times New Roman" w:hAnsi="Times New Roman"/>
          <w:sz w:val="24"/>
          <w:szCs w:val="24"/>
        </w:rPr>
        <w:t>Территорию Дубительского сельского поселения составляют исторически сложившиеся земли входящих в состав Дубительского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Дубительского сельского поселения, независимо от форм собственности и целевого назначения.</w:t>
      </w:r>
    </w:p>
    <w:p>
      <w:pPr>
        <w:pStyle w:val="style0"/>
        <w:spacing w:after="0" w:before="0" w:line="100" w:lineRule="atLeast"/>
        <w:ind w:firstLine="709" w:left="0" w:right="0"/>
        <w:contextualSpacing w:val="false"/>
        <w:jc w:val="both"/>
      </w:pPr>
      <w:r>
        <w:rPr>
          <w:rFonts w:ascii="Times New Roman" w:hAnsi="Times New Roman"/>
          <w:sz w:val="24"/>
          <w:szCs w:val="24"/>
        </w:rPr>
        <w:t>В границах  Дубительского сельского поселения находятся следующие  населенные пункты: п.Дубитель.</w:t>
      </w:r>
    </w:p>
    <w:p>
      <w:pPr>
        <w:pStyle w:val="style0"/>
        <w:spacing w:after="0" w:before="0" w:line="100" w:lineRule="atLeast"/>
        <w:ind w:firstLine="709" w:left="0" w:right="0"/>
        <w:contextualSpacing w:val="false"/>
        <w:jc w:val="both"/>
      </w:pPr>
      <w:r>
        <w:rPr>
          <w:rFonts w:ascii="Times New Roman" w:hAnsi="Times New Roman"/>
          <w:sz w:val="24"/>
          <w:szCs w:val="24"/>
        </w:rPr>
        <w:t>Границы Дубительского сельского поселения установлены Законом Республики Мордовия от 07 февраля 2005 года № 12-З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w:t>
      </w:r>
    </w:p>
    <w:p>
      <w:pPr>
        <w:pStyle w:val="style0"/>
        <w:spacing w:after="0" w:before="0" w:line="100" w:lineRule="atLeast"/>
        <w:ind w:firstLine="709" w:left="0" w:right="0"/>
        <w:contextualSpacing w:val="false"/>
        <w:jc w:val="both"/>
      </w:pPr>
      <w:r>
        <w:rPr>
          <w:rFonts w:ascii="Times New Roman" w:hAnsi="Times New Roman"/>
          <w:sz w:val="24"/>
          <w:szCs w:val="24"/>
        </w:rPr>
        <w:t>Численность населения, по данным администрации Дубительского сельского поселения,  составляет 592 чел. (2015 г.). К территории прилегают сельскохозяйственные угодья, земли сельхоз. производства, земли общего пользования, территории природопользования.</w:t>
      </w:r>
    </w:p>
    <w:p>
      <w:pPr>
        <w:pStyle w:val="style1"/>
        <w:ind w:firstLine="709" w:left="0" w:right="0"/>
      </w:pPr>
      <w:bookmarkStart w:id="9" w:name="__RefHeading__3190_1577988068"/>
      <w:bookmarkStart w:id="10" w:name="_Toc445886181"/>
      <w:bookmarkEnd w:id="9"/>
      <w:bookmarkEnd w:id="10"/>
      <w:r>
        <w:rPr>
          <w:rFonts w:ascii="Times New Roman" w:hAnsi="Times New Roman"/>
          <w:color w:val="00000A"/>
          <w:sz w:val="24"/>
        </w:rPr>
        <w:t>1.2.1 Общая характеристика систем теплоснабжения</w:t>
      </w:r>
    </w:p>
    <w:p>
      <w:pPr>
        <w:pStyle w:val="style0"/>
        <w:shd w:fill="FFFFFF" w:val="clear"/>
        <w:spacing w:after="0" w:before="0" w:line="100" w:lineRule="atLeast"/>
        <w:ind w:firstLine="709" w:left="0" w:right="-51"/>
        <w:contextualSpacing w:val="false"/>
        <w:jc w:val="both"/>
      </w:pPr>
      <w:r>
        <w:rPr>
          <w:rFonts w:ascii="Times New Roman" w:hAnsi="Times New Roman"/>
          <w:b/>
          <w:sz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Теплоснабжение </w:t>
      </w:r>
      <w:r>
        <w:rPr>
          <w:rFonts w:ascii="Times New Roman" w:hAnsi="Times New Roman"/>
          <w:sz w:val="24"/>
          <w:szCs w:val="24"/>
        </w:rPr>
        <w:t>п. Дубитель</w:t>
      </w:r>
      <w:r>
        <w:rPr>
          <w:rFonts w:ascii="Times New Roman" w:cs="Times New Roman" w:hAnsi="Times New Roman"/>
          <w:color w:val="000000"/>
          <w:sz w:val="24"/>
          <w:szCs w:val="24"/>
        </w:rPr>
        <w:t xml:space="preserve"> осуществляется от котельной </w:t>
      </w:r>
      <w:r>
        <w:rPr>
          <w:rFonts w:ascii="Times New Roman" w:hAnsi="Times New Roman"/>
          <w:sz w:val="24"/>
          <w:szCs w:val="24"/>
        </w:rPr>
        <w:t>ЖКХ «Зубово-Поляна»</w:t>
      </w:r>
      <w:r>
        <w:rPr>
          <w:rFonts w:ascii="Times New Roman" w:cs="Times New Roman" w:hAnsi="Times New Roman"/>
          <w:color w:val="000000"/>
          <w:sz w:val="24"/>
          <w:szCs w:val="24"/>
        </w:rPr>
        <w:t xml:space="preserve">. Котельная работает на природном газе. Тепловая мощность котельной 0,43 Гкал/ч не достаточна для теплоснабжения всего посёлка. </w:t>
      </w:r>
    </w:p>
    <w:p>
      <w:pPr>
        <w:pStyle w:val="style0"/>
        <w:widowControl w:val="false"/>
        <w:spacing w:after="0" w:before="0"/>
        <w:ind w:firstLine="709" w:left="0" w:right="0"/>
        <w:contextualSpacing w:val="false"/>
        <w:jc w:val="both"/>
      </w:pPr>
      <w:r>
        <w:rPr>
          <w:rFonts w:ascii="Times New Roman" w:cs="Times New Roman" w:hAnsi="Times New Roman"/>
          <w:color w:val="000000"/>
          <w:sz w:val="24"/>
          <w:szCs w:val="24"/>
        </w:rPr>
        <w:t xml:space="preserve">Общая установленная тепловая мощность источников </w:t>
      </w:r>
      <w:r>
        <w:rPr>
          <w:rFonts w:ascii="Times New Roman" w:hAnsi="Times New Roman"/>
          <w:sz w:val="24"/>
          <w:szCs w:val="24"/>
        </w:rPr>
        <w:t>п. Дубитель</w:t>
      </w:r>
      <w:r>
        <w:rPr>
          <w:rFonts w:ascii="Times New Roman" w:cs="Times New Roman" w:hAnsi="Times New Roman"/>
          <w:color w:val="000000"/>
          <w:sz w:val="24"/>
          <w:szCs w:val="24"/>
        </w:rPr>
        <w:t xml:space="preserve">, обеспечивающая балансы покрытия присоединенной тепловой нагрузки на конец 2015 года составила 0,424 Гкал/ч. Вся нагрузка покрывается одной теплоснабжающей организацией - </w:t>
      </w:r>
      <w:r>
        <w:rPr>
          <w:rFonts w:ascii="Times New Roman" w:hAnsi="Times New Roman"/>
          <w:sz w:val="24"/>
          <w:szCs w:val="24"/>
        </w:rPr>
        <w:t>ЖКХ «Зубово-Поляна»</w:t>
      </w:r>
      <w:r>
        <w:rPr>
          <w:rFonts w:ascii="Times New Roman" w:cs="Times New Roman" w:hAnsi="Times New Roman"/>
          <w:color w:val="000000"/>
          <w:sz w:val="24"/>
          <w:szCs w:val="24"/>
        </w:rPr>
        <w:t>.</w:t>
      </w:r>
    </w:p>
    <w:p>
      <w:pPr>
        <w:pStyle w:val="style1"/>
        <w:ind w:firstLine="709" w:left="0" w:right="0"/>
      </w:pPr>
      <w:bookmarkStart w:id="11" w:name="__RefHeading__3192_1577988068"/>
      <w:bookmarkStart w:id="12" w:name="_Toc445886182"/>
      <w:bookmarkEnd w:id="11"/>
      <w:bookmarkEnd w:id="12"/>
      <w:r>
        <w:rPr>
          <w:rFonts w:ascii="Times New Roman" w:cs="Times New Roman" w:hAnsi="Times New Roman"/>
          <w:color w:val="000000"/>
          <w:sz w:val="24"/>
          <w:szCs w:val="24"/>
        </w:rPr>
        <w:t>1.2.2 Установленная и располагаемая мощность энергоисточников</w:t>
      </w:r>
    </w:p>
    <w:p>
      <w:pPr>
        <w:pStyle w:val="style0"/>
        <w:widowControl w:val="false"/>
        <w:spacing w:after="0" w:before="0"/>
        <w:ind w:firstLine="709" w:left="0" w:right="0"/>
        <w:contextualSpacing w:val="false"/>
        <w:jc w:val="both"/>
      </w:pPr>
      <w:r>
        <w:rPr>
          <w:rFonts w:ascii="Times New Roman" w:cs="Times New Roman" w:hAnsi="Times New Roman"/>
          <w:b/>
          <w:color w:val="000000"/>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Мощность котельной, установленная по режимной карте, представлена в табл. 1.1. Резерв мощности имеется на котельной.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Анализируя мощность котельной </w:t>
      </w:r>
      <w:r>
        <w:rPr>
          <w:rFonts w:ascii="Times New Roman" w:hAnsi="Times New Roman"/>
          <w:sz w:val="24"/>
          <w:szCs w:val="24"/>
        </w:rPr>
        <w:t>п. Дубитель</w:t>
      </w:r>
      <w:r>
        <w:rPr>
          <w:rFonts w:ascii="Times New Roman" w:cs="Times New Roman" w:hAnsi="Times New Roman"/>
          <w:color w:val="000000"/>
          <w:sz w:val="24"/>
          <w:szCs w:val="24"/>
        </w:rPr>
        <w:t xml:space="preserve">, было определено что располагаемая тепловая мощность котельной поселка составляет – 0,43 Гкал/ч. </w:t>
      </w:r>
    </w:p>
    <w:p>
      <w:pPr>
        <w:pStyle w:val="style0"/>
        <w:widowControl w:val="false"/>
        <w:spacing w:after="0" w:before="0"/>
        <w:ind w:firstLine="709" w:left="0" w:right="0"/>
        <w:contextualSpacing w:val="false"/>
      </w:pPr>
      <w:r>
        <w:rPr>
          <w:rFonts w:ascii="Times New Roman" w:cs="Times New Roman" w:hAnsi="Times New Roman"/>
          <w:color w:val="000000"/>
          <w:sz w:val="24"/>
          <w:szCs w:val="24"/>
        </w:rPr>
      </w:r>
    </w:p>
    <w:p>
      <w:pPr>
        <w:pStyle w:val="style0"/>
        <w:widowControl w:val="false"/>
        <w:spacing w:after="0" w:before="0"/>
        <w:ind w:firstLine="709" w:left="0" w:right="0"/>
        <w:contextualSpacing w:val="false"/>
      </w:pPr>
      <w:r>
        <w:rPr>
          <w:rFonts w:ascii="Times New Roman" w:cs="Times New Roman" w:hAnsi="Times New Roman"/>
          <w:color w:val="000000"/>
          <w:sz w:val="24"/>
          <w:szCs w:val="24"/>
        </w:rPr>
      </w:r>
    </w:p>
    <w:p>
      <w:pPr>
        <w:pStyle w:val="style0"/>
        <w:widowControl w:val="false"/>
        <w:spacing w:after="0" w:before="0"/>
        <w:ind w:firstLine="709" w:left="0" w:right="0"/>
        <w:contextualSpacing w:val="false"/>
      </w:pPr>
      <w:r>
        <w:rPr>
          <w:rFonts w:ascii="Times New Roman" w:cs="Times New Roman" w:hAnsi="Times New Roman"/>
          <w:color w:val="000000"/>
          <w:sz w:val="24"/>
          <w:szCs w:val="24"/>
        </w:rPr>
      </w:r>
    </w:p>
    <w:p>
      <w:pPr>
        <w:pStyle w:val="style0"/>
        <w:widowControl w:val="false"/>
        <w:spacing w:after="0" w:before="0"/>
        <w:ind w:firstLine="709" w:left="0" w:right="0"/>
        <w:contextualSpacing w:val="false"/>
      </w:pPr>
      <w:r>
        <w:rPr>
          <w:rFonts w:ascii="Times New Roman" w:cs="Times New Roman" w:hAnsi="Times New Roman"/>
          <w:color w:val="000000"/>
          <w:sz w:val="24"/>
          <w:szCs w:val="24"/>
        </w:rPr>
      </w:r>
    </w:p>
    <w:p>
      <w:pPr>
        <w:pStyle w:val="style0"/>
        <w:widowControl w:val="false"/>
        <w:spacing w:after="0" w:before="0"/>
        <w:contextualSpacing w:val="false"/>
      </w:pPr>
      <w:r>
        <w:rPr>
          <w:rFonts w:ascii="Times New Roman" w:cs="Times New Roman" w:hAnsi="Times New Roman"/>
          <w:color w:val="000000"/>
          <w:sz w:val="24"/>
          <w:szCs w:val="24"/>
        </w:rPr>
        <w:t>Таблица 1.1. Мощность котельной, установленная по режимной карте</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1950"/>
        <w:gridCol w:w="1614"/>
        <w:gridCol w:w="5144"/>
        <w:gridCol w:w="1429"/>
      </w:tblGrid>
      <w:tr>
        <w:trPr>
          <w:cantSplit w:val="false"/>
        </w:trPr>
        <w:tc>
          <w:tcPr>
            <w:tcW w:type="dxa" w:w="1950"/>
            <w:vMerge w:val="restart"/>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Ведомственная принадлежность</w:t>
            </w:r>
          </w:p>
        </w:tc>
        <w:tc>
          <w:tcPr>
            <w:tcW w:type="dxa" w:w="1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r>
          </w:p>
        </w:tc>
        <w:tc>
          <w:tcPr>
            <w:tcW w:type="dxa" w:w="5144"/>
            <w:gridSpan w:val="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Мощность котельной, Гкал/ч</w:t>
            </w:r>
          </w:p>
        </w:tc>
        <w:tc>
          <w:tcPr>
            <w:tcW w:type="dxa" w:w="14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r>
          </w:p>
        </w:tc>
      </w:tr>
      <w:tr>
        <w:trPr>
          <w:cantSplit w:val="false"/>
        </w:trPr>
        <w:tc>
          <w:tcPr>
            <w:tcW w:type="dxa" w:w="1950"/>
            <w:vMerge w:val="continue"/>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r>
          </w:p>
        </w:tc>
        <w:tc>
          <w:tcPr>
            <w:tcW w:type="dxa" w:w="1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Наименование котельной, адрес.</w:t>
            </w:r>
          </w:p>
        </w:tc>
        <w:tc>
          <w:tcPr>
            <w:tcW w:type="dxa" w:w="173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Установленная</w:t>
            </w:r>
          </w:p>
        </w:tc>
        <w:tc>
          <w:tcPr>
            <w:tcW w:type="dxa" w:w="168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Располагаемая</w:t>
            </w:r>
          </w:p>
        </w:tc>
        <w:tc>
          <w:tcPr>
            <w:tcW w:type="dxa" w:w="171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Подключенная</w:t>
            </w:r>
          </w:p>
        </w:tc>
        <w:tc>
          <w:tcPr>
            <w:tcW w:type="dxa" w:w="14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Резерв (+)/дефицит (-), Гкал/ч</w:t>
            </w:r>
          </w:p>
        </w:tc>
      </w:tr>
      <w:tr>
        <w:trPr>
          <w:cantSplit w:val="false"/>
        </w:trPr>
        <w:tc>
          <w:tcPr>
            <w:tcW w:type="dxa" w:w="195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4"/>
                <w:szCs w:val="24"/>
              </w:rPr>
              <w:t>ЖКХ «Зубово-Поляна»</w:t>
            </w:r>
          </w:p>
        </w:tc>
        <w:tc>
          <w:tcPr>
            <w:tcW w:type="dxa" w:w="1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Котельная</w:t>
            </w:r>
          </w:p>
        </w:tc>
        <w:tc>
          <w:tcPr>
            <w:tcW w:type="dxa" w:w="173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0,43</w:t>
            </w:r>
          </w:p>
        </w:tc>
        <w:tc>
          <w:tcPr>
            <w:tcW w:type="dxa" w:w="168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0,43</w:t>
            </w:r>
          </w:p>
        </w:tc>
        <w:tc>
          <w:tcPr>
            <w:tcW w:type="dxa" w:w="171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0,424</w:t>
            </w:r>
          </w:p>
        </w:tc>
        <w:tc>
          <w:tcPr>
            <w:tcW w:type="dxa" w:w="14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jc w:val="center"/>
            </w:pPr>
            <w:r>
              <w:rPr>
                <w:rFonts w:ascii="Times New Roman" w:hAnsi="Times New Roman"/>
                <w:sz w:val="20"/>
                <w:szCs w:val="24"/>
              </w:rPr>
              <w:t>0,006</w:t>
            </w:r>
          </w:p>
        </w:tc>
      </w:tr>
    </w:tbl>
    <w:p>
      <w:pPr>
        <w:pStyle w:val="style1"/>
        <w:ind w:firstLine="709" w:left="0" w:right="0"/>
      </w:pPr>
      <w:bookmarkStart w:id="13" w:name="__RefHeading__3194_1577988068"/>
      <w:bookmarkStart w:id="14" w:name="_Toc445886183"/>
      <w:bookmarkEnd w:id="13"/>
      <w:r>
        <w:rPr>
          <w:rFonts w:ascii="Times New Roman" w:cs="Times New Roman" w:hAnsi="Times New Roman"/>
          <w:bCs w:val="false"/>
          <w:color w:val="000000"/>
          <w:sz w:val="24"/>
          <w:szCs w:val="24"/>
        </w:rPr>
        <w:t>1.2.3 Отпуск тепла и топливопотребление энергоисточника</w:t>
      </w:r>
      <w:bookmarkEnd w:id="14"/>
      <w:r>
        <w:rPr>
          <w:rFonts w:ascii="Times New Roman" w:cs="Times New Roman" w:hAnsi="Times New Roman"/>
          <w:bCs w:val="false"/>
          <w:color w:val="000000"/>
          <w:sz w:val="24"/>
          <w:szCs w:val="24"/>
        </w:rPr>
        <w:t xml:space="preserve">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Отпуск тепла с коллектора котельной </w:t>
      </w:r>
      <w:r>
        <w:rPr>
          <w:rFonts w:ascii="Times New Roman" w:hAnsi="Times New Roman"/>
          <w:sz w:val="24"/>
          <w:szCs w:val="24"/>
        </w:rPr>
        <w:t>п. Дубитель</w:t>
      </w:r>
      <w:r>
        <w:rPr>
          <w:rFonts w:ascii="Times New Roman" w:cs="Times New Roman" w:hAnsi="Times New Roman"/>
          <w:color w:val="000000"/>
          <w:sz w:val="24"/>
          <w:szCs w:val="24"/>
        </w:rPr>
        <w:t xml:space="preserve"> составил в 2015 году 1619,35 Гкал. В табл. 1.2. приведена динамика отпуска тепловой энергии котельной за 2013-2015 г.г. </w:t>
      </w:r>
    </w:p>
    <w:p>
      <w:pPr>
        <w:pStyle w:val="style0"/>
        <w:widowControl w:val="false"/>
        <w:spacing w:after="0" w:before="0"/>
        <w:ind w:firstLine="709" w:left="0" w:right="0"/>
        <w:contextualSpacing w:val="false"/>
      </w:pPr>
      <w:r>
        <w:rPr>
          <w:rFonts w:ascii="Times New Roman" w:cs="Times New Roman" w:hAnsi="Times New Roman"/>
          <w:color w:val="000000"/>
          <w:sz w:val="24"/>
          <w:szCs w:val="24"/>
        </w:rPr>
      </w:r>
    </w:p>
    <w:p>
      <w:pPr>
        <w:pStyle w:val="style0"/>
        <w:widowControl w:val="false"/>
        <w:spacing w:after="0" w:before="0"/>
        <w:contextualSpacing w:val="false"/>
      </w:pPr>
      <w:r>
        <w:rPr>
          <w:rFonts w:ascii="Times New Roman" w:cs="Times New Roman" w:hAnsi="Times New Roman"/>
          <w:color w:val="000000"/>
          <w:sz w:val="24"/>
          <w:szCs w:val="24"/>
        </w:rPr>
        <w:t>Таблица 1.2. Отпуск тепловой энергии котельными за 2013-2015 г.</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5637"/>
        <w:gridCol w:w="4499"/>
      </w:tblGrid>
      <w:tr>
        <w:trPr>
          <w:trHeight w:hRule="atLeast" w:val="100"/>
          <w:cantSplit w:val="false"/>
        </w:trPr>
        <w:tc>
          <w:tcPr>
            <w:tcW w:type="dxa" w:w="5637"/>
            <w:vMerge w:val="restart"/>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Наименование котельной</w:t>
            </w:r>
          </w:p>
        </w:tc>
        <w:tc>
          <w:tcPr>
            <w:tcW w:type="dxa" w:w="4499"/>
            <w:gridSpan w:val="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По годам, Гкал</w:t>
            </w:r>
          </w:p>
        </w:tc>
      </w:tr>
      <w:tr>
        <w:trPr>
          <w:trHeight w:hRule="atLeast" w:val="318"/>
          <w:cantSplit w:val="false"/>
        </w:trPr>
        <w:tc>
          <w:tcPr>
            <w:tcW w:type="dxa" w:w="5637"/>
            <w:vMerge w:val="continue"/>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r>
          </w:p>
        </w:tc>
        <w:tc>
          <w:tcPr>
            <w:tcW w:type="dxa" w:w="155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2013 г.</w:t>
            </w:r>
          </w:p>
        </w:tc>
        <w:tc>
          <w:tcPr>
            <w:tcW w:type="dxa" w:w="155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2014 г.</w:t>
            </w:r>
          </w:p>
        </w:tc>
        <w:tc>
          <w:tcPr>
            <w:tcW w:type="dxa" w:w="1381"/>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2015 г.</w:t>
            </w:r>
          </w:p>
        </w:tc>
      </w:tr>
      <w:tr>
        <w:trPr>
          <w:cantSplit w:val="false"/>
        </w:trPr>
        <w:tc>
          <w:tcPr>
            <w:tcW w:type="dxa" w:w="563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Котельная </w:t>
            </w:r>
            <w:r>
              <w:rPr>
                <w:sz w:val="22"/>
              </w:rPr>
              <w:t>ЖКХ «Зубово-Поляна»</w:t>
            </w:r>
          </w:p>
        </w:tc>
        <w:tc>
          <w:tcPr>
            <w:tcW w:type="dxa" w:w="155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1619,35</w:t>
            </w:r>
          </w:p>
        </w:tc>
        <w:tc>
          <w:tcPr>
            <w:tcW w:type="dxa" w:w="155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1619,35</w:t>
            </w:r>
          </w:p>
        </w:tc>
        <w:tc>
          <w:tcPr>
            <w:tcW w:type="dxa" w:w="1381"/>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1619,35</w:t>
            </w:r>
          </w:p>
        </w:tc>
      </w:tr>
    </w:tbl>
    <w:p>
      <w:pPr>
        <w:pStyle w:val="style0"/>
        <w:widowControl w:val="false"/>
        <w:spacing w:after="0" w:before="0"/>
        <w:ind w:firstLine="709" w:left="0" w:right="0"/>
        <w:contextualSpacing w:val="false"/>
      </w:pPr>
      <w:r>
        <w:rPr>
          <w:rFonts w:ascii="Times New Roman" w:cs="Times New Roman" w:hAnsi="Times New Roman"/>
          <w:b/>
          <w:bCs/>
          <w:sz w:val="24"/>
          <w:szCs w:val="24"/>
        </w:rPr>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r>
    </w:p>
    <w:p>
      <w:pPr>
        <w:pStyle w:val="style0"/>
        <w:spacing w:after="0" w:before="0" w:line="100" w:lineRule="atLeast"/>
        <w:ind w:firstLine="709" w:left="0" w:right="0"/>
        <w:contextualSpacing w:val="false"/>
        <w:jc w:val="center"/>
      </w:pPr>
      <w:r>
        <w:rPr>
          <w:rFonts w:ascii="Times New Roman" w:cs="Times New Roman" w:hAnsi="Times New Roman"/>
          <w:color w:val="000000"/>
          <w:sz w:val="24"/>
          <w:szCs w:val="24"/>
        </w:rPr>
        <w:t>Рисунок 1.2 – Динамика отпуска тепловой энергии в сеть за 2013-2015 г.</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Сведения по потреблению котельно-печного топлива по котельным </w:t>
      </w:r>
      <w:r>
        <w:rPr>
          <w:rFonts w:ascii="Times New Roman" w:hAnsi="Times New Roman"/>
          <w:sz w:val="24"/>
          <w:szCs w:val="24"/>
        </w:rPr>
        <w:t>п. Дубитель</w:t>
      </w:r>
      <w:r>
        <w:rPr>
          <w:rFonts w:ascii="Times New Roman" w:cs="Times New Roman" w:hAnsi="Times New Roman"/>
          <w:color w:val="000000"/>
          <w:sz w:val="24"/>
          <w:szCs w:val="24"/>
        </w:rPr>
        <w:t xml:space="preserve"> в табл.1.3. Основным видом топлива для котельной является природный газ. </w:t>
      </w:r>
    </w:p>
    <w:p>
      <w:pPr>
        <w:pStyle w:val="style1"/>
        <w:ind w:firstLine="709" w:left="0" w:right="0"/>
      </w:pPr>
      <w:bookmarkStart w:id="15" w:name="__RefHeading__3196_1577988068"/>
      <w:bookmarkStart w:id="16" w:name="_Toc445886184"/>
      <w:bookmarkEnd w:id="15"/>
      <w:bookmarkEnd w:id="16"/>
      <w:r>
        <w:rPr>
          <w:rFonts w:ascii="Times New Roman" w:hAnsi="Times New Roman"/>
          <w:color w:val="00000A"/>
          <w:sz w:val="24"/>
        </w:rPr>
        <w:t>1.2.3.1 Топливный баланс</w:t>
      </w:r>
    </w:p>
    <w:p>
      <w:pPr>
        <w:pStyle w:val="style0"/>
        <w:widowControl w:val="false"/>
        <w:spacing w:after="0" w:before="0"/>
        <w:ind w:firstLine="567" w:left="0" w:right="0"/>
        <w:contextualSpacing w:val="false"/>
      </w:pPr>
      <w:r>
        <w:rPr>
          <w:rFonts w:ascii="Times New Roman" w:cs="Times New Roman" w:hAnsi="Times New Roman"/>
          <w:color w:val="000000"/>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Сведения по потреблению котельно-печного топлива по котельной </w:t>
      </w:r>
      <w:r>
        <w:rPr>
          <w:rFonts w:ascii="Times New Roman" w:hAnsi="Times New Roman"/>
          <w:sz w:val="24"/>
          <w:szCs w:val="24"/>
        </w:rPr>
        <w:t>п. Дубитель</w:t>
      </w:r>
      <w:r>
        <w:rPr>
          <w:rFonts w:ascii="Times New Roman" w:cs="Times New Roman" w:hAnsi="Times New Roman"/>
          <w:color w:val="000000"/>
          <w:sz w:val="24"/>
          <w:szCs w:val="24"/>
        </w:rPr>
        <w:t xml:space="preserve"> в табл.1.3. Основным видом топлива для котельной является природный газ.</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p>
    <w:p>
      <w:pPr>
        <w:pStyle w:val="style0"/>
        <w:widowControl w:val="false"/>
        <w:spacing w:after="0" w:before="0"/>
        <w:contextualSpacing w:val="false"/>
        <w:jc w:val="both"/>
      </w:pPr>
      <w:r>
        <w:rPr>
          <w:rFonts w:ascii="Times New Roman" w:cs="Times New Roman" w:hAnsi="Times New Roman"/>
          <w:color w:val="000000"/>
          <w:sz w:val="24"/>
          <w:szCs w:val="24"/>
        </w:rPr>
        <w:t xml:space="preserve">Таблица 1.3. Баланс топлива по всем котельным </w:t>
      </w:r>
      <w:r>
        <w:rPr>
          <w:rFonts w:ascii="Times New Roman" w:hAnsi="Times New Roman"/>
          <w:sz w:val="24"/>
          <w:szCs w:val="24"/>
        </w:rPr>
        <w:t>п. Дубитель</w:t>
      </w:r>
      <w:r>
        <w:rPr>
          <w:rFonts w:ascii="Times New Roman" w:cs="Times New Roman" w:hAnsi="Times New Roman"/>
          <w:color w:val="000000"/>
          <w:sz w:val="24"/>
          <w:szCs w:val="24"/>
        </w:rPr>
        <w:t xml:space="preserve"> за 2015 г.</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5070"/>
        <w:gridCol w:w="1688"/>
        <w:gridCol w:w="3380"/>
      </w:tblGrid>
      <w:tr>
        <w:trPr>
          <w:cantSplit w:val="false"/>
        </w:trPr>
        <w:tc>
          <w:tcPr>
            <w:tcW w:type="dxa" w:w="507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bCs/>
                <w:sz w:val="20"/>
                <w:szCs w:val="24"/>
              </w:rPr>
              <w:t>Наименование котельной</w:t>
            </w:r>
          </w:p>
        </w:tc>
        <w:tc>
          <w:tcPr>
            <w:tcW w:type="dxa" w:w="168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bCs/>
                <w:sz w:val="20"/>
                <w:szCs w:val="24"/>
              </w:rPr>
              <w:t>Вид топлива</w:t>
            </w:r>
          </w:p>
        </w:tc>
        <w:tc>
          <w:tcPr>
            <w:tcW w:type="dxa" w:w="338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rPr>
              <w:t>Годовой расход натурального топлива</w:t>
            </w:r>
            <w:r>
              <w:rPr>
                <w:rFonts w:ascii="Times New Roman" w:hAnsi="Times New Roman"/>
                <w:bCs/>
                <w:sz w:val="20"/>
                <w:szCs w:val="24"/>
              </w:rPr>
              <w:t>, тыс. м3/год</w:t>
            </w:r>
          </w:p>
        </w:tc>
      </w:tr>
      <w:tr>
        <w:trPr>
          <w:cantSplit w:val="false"/>
        </w:trPr>
        <w:tc>
          <w:tcPr>
            <w:tcW w:type="dxa" w:w="507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sz w:val="20"/>
                <w:szCs w:val="20"/>
              </w:rPr>
              <w:t xml:space="preserve">Котельная </w:t>
            </w:r>
            <w:r>
              <w:rPr>
                <w:rFonts w:ascii="Times New Roman" w:hAnsi="Times New Roman"/>
                <w:sz w:val="24"/>
                <w:szCs w:val="24"/>
              </w:rPr>
              <w:t>ЖКХ «Зубово-Поляна»</w:t>
            </w:r>
          </w:p>
        </w:tc>
        <w:tc>
          <w:tcPr>
            <w:tcW w:type="dxa" w:w="168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bCs/>
                <w:sz w:val="20"/>
                <w:szCs w:val="24"/>
              </w:rPr>
              <w:t>газ</w:t>
            </w:r>
          </w:p>
        </w:tc>
        <w:tc>
          <w:tcPr>
            <w:tcW w:type="dxa" w:w="338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cs="Times New Roman" w:hAnsi="Times New Roman"/>
                <w:color w:val="000000"/>
                <w:sz w:val="24"/>
                <w:szCs w:val="24"/>
              </w:rPr>
              <w:t>192,57</w:t>
            </w:r>
          </w:p>
        </w:tc>
      </w:tr>
    </w:tbl>
    <w:p>
      <w:pPr>
        <w:pStyle w:val="style1"/>
        <w:ind w:firstLine="709" w:left="0" w:right="0"/>
      </w:pPr>
      <w:bookmarkStart w:id="17" w:name="__RefHeading__3198_1577988068"/>
      <w:bookmarkStart w:id="18" w:name="_Toc445886185"/>
      <w:bookmarkEnd w:id="17"/>
      <w:bookmarkEnd w:id="18"/>
      <w:r>
        <w:rPr>
          <w:rFonts w:ascii="Times New Roman" w:hAnsi="Times New Roman"/>
          <w:bCs w:val="false"/>
          <w:color w:val="00000A"/>
          <w:sz w:val="24"/>
          <w:szCs w:val="24"/>
        </w:rPr>
        <w:t>1.2.4. Тепловые сети</w:t>
      </w:r>
    </w:p>
    <w:p>
      <w:pPr>
        <w:pStyle w:val="style0"/>
        <w:widowControl w:val="false"/>
        <w:overflowPunct w:val="true"/>
        <w:spacing w:after="0" w:before="0" w:line="232" w:lineRule="auto"/>
        <w:ind w:firstLine="720" w:left="20" w:right="0"/>
        <w:contextualSpacing w:val="false"/>
        <w:jc w:val="both"/>
      </w:pPr>
      <w:r>
        <w:rPr>
          <w:rFonts w:ascii="Times New Roman" w:hAnsi="Times New Roman"/>
          <w:sz w:val="24"/>
          <w:szCs w:val="24"/>
        </w:rPr>
      </w:r>
    </w:p>
    <w:p>
      <w:pPr>
        <w:pStyle w:val="style0"/>
        <w:widowControl w:val="false"/>
        <w:overflowPunct w:val="true"/>
        <w:spacing w:after="0" w:before="0" w:line="232" w:lineRule="auto"/>
        <w:ind w:firstLine="720" w:left="20" w:right="0"/>
        <w:contextualSpacing w:val="false"/>
        <w:jc w:val="both"/>
      </w:pPr>
      <w:r>
        <w:rPr>
          <w:rFonts w:ascii="Times New Roman" w:hAnsi="Times New Roman"/>
          <w:sz w:val="24"/>
          <w:szCs w:val="24"/>
        </w:rPr>
        <w:t xml:space="preserve">Общие характеристики тепловых сетей (протяженность в однотрубном исчислении и средний по материальной характеристике диаметр трубопровода) п. Дубитель и их динамика представлена в табл. 1.4. Протяженность теплосети (на период начала их эксплуатации теплоснабжающей организацией ЖКХ «Зубово-Поляна») однотрубном исчислении составлял 977 м. Средний диаметр теплосети по материальной характеристике равен 0,068 м. </w:t>
      </w:r>
    </w:p>
    <w:p>
      <w:pPr>
        <w:pStyle w:val="style0"/>
        <w:widowControl w:val="false"/>
        <w:overflowPunct w:val="true"/>
        <w:spacing w:after="0" w:before="0" w:line="232" w:lineRule="auto"/>
        <w:ind w:firstLine="720" w:left="20" w:right="0"/>
        <w:contextualSpacing w:val="false"/>
        <w:jc w:val="both"/>
      </w:pPr>
      <w:r>
        <w:rPr>
          <w:rFonts w:ascii="Times New Roman" w:hAnsi="Times New Roman"/>
          <w:sz w:val="24"/>
          <w:szCs w:val="24"/>
        </w:rPr>
      </w:r>
    </w:p>
    <w:p>
      <w:pPr>
        <w:pStyle w:val="style0"/>
        <w:widowControl w:val="false"/>
        <w:spacing w:after="0" w:before="0" w:line="5" w:lineRule="exact"/>
        <w:contextualSpacing w:val="false"/>
      </w:pPr>
      <w:r>
        <w:rPr>
          <w:rFonts w:ascii="Times New Roman" w:hAnsi="Times New Roman"/>
          <w:sz w:val="24"/>
          <w:szCs w:val="24"/>
        </w:rPr>
      </w:r>
    </w:p>
    <w:p>
      <w:pPr>
        <w:pStyle w:val="style0"/>
        <w:widowControl w:val="false"/>
        <w:spacing w:after="0" w:before="0" w:line="100" w:lineRule="atLeast"/>
        <w:ind w:hanging="0" w:left="20" w:right="0"/>
        <w:contextualSpacing w:val="false"/>
      </w:pPr>
      <w:r>
        <w:rPr>
          <w:rFonts w:ascii="Times New Roman" w:hAnsi="Times New Roman"/>
          <w:sz w:val="24"/>
          <w:szCs w:val="24"/>
        </w:rPr>
        <w:t>Таблица 1.4. – Общие характеристики тепловых сетей</w:t>
      </w:r>
    </w:p>
    <w:p>
      <w:pPr>
        <w:pStyle w:val="style0"/>
        <w:widowControl w:val="false"/>
        <w:spacing w:after="0" w:before="0" w:line="200" w:lineRule="exact"/>
        <w:contextualSpacing w:val="false"/>
      </w:pPr>
      <w:r>
        <w:rPr>
          <w:rFonts w:ascii="Times New Roman" w:hAnsi="Times New Roman"/>
          <w:sz w:val="24"/>
          <w:szCs w:val="24"/>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2465"/>
        <w:gridCol w:w="2401"/>
        <w:gridCol w:w="2417"/>
        <w:gridCol w:w="2854"/>
      </w:tblGrid>
      <w:tr>
        <w:trPr>
          <w:trHeight w:hRule="atLeast" w:val="284"/>
          <w:cantSplit w:val="false"/>
        </w:trPr>
        <w:tc>
          <w:tcPr>
            <w:tcW w:type="dxa" w:w="2465"/>
            <w:vMerge w:val="restart"/>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Наименование теплоснабжающей и теплосетевой организации</w:t>
            </w:r>
          </w:p>
        </w:tc>
        <w:tc>
          <w:tcPr>
            <w:tcW w:type="dxa" w:w="2401"/>
            <w:vMerge w:val="restart"/>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Протяженность трубопроводов тепловых сетей в однотрубном исчислении, м</w:t>
            </w:r>
          </w:p>
        </w:tc>
        <w:tc>
          <w:tcPr>
            <w:tcW w:type="dxa" w:w="2417"/>
            <w:vMerge w:val="restart"/>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Средний (по материальной характеристике) наружный диаметр трубопроводов тепловых сетей, м</w:t>
            </w:r>
          </w:p>
        </w:tc>
        <w:tc>
          <w:tcPr>
            <w:tcW w:type="dxa" w:w="2854"/>
            <w:gridSpan w:val="2"/>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 xml:space="preserve">Объем трубопроводов тепловых сетей, </w:t>
            </w:r>
            <w:r>
              <w:rPr>
                <w:rFonts w:ascii="Times New Roman" w:hAnsi="Times New Roman"/>
                <w:bCs/>
                <w:w w:val="99"/>
              </w:rPr>
              <w:t>м</w:t>
            </w:r>
            <w:r>
              <w:rPr>
                <w:rFonts w:ascii="Times New Roman" w:hAnsi="Times New Roman"/>
                <w:bCs/>
                <w:w w:val="99"/>
                <w:vertAlign w:val="superscript"/>
              </w:rPr>
              <w:t>3</w:t>
            </w:r>
          </w:p>
        </w:tc>
      </w:tr>
      <w:tr>
        <w:trPr>
          <w:trHeight w:hRule="atLeast" w:val="284"/>
          <w:cantSplit w:val="false"/>
        </w:trPr>
        <w:tc>
          <w:tcPr>
            <w:tcW w:type="dxa" w:w="2465"/>
            <w:vMerge w:val="continue"/>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r>
          </w:p>
        </w:tc>
        <w:tc>
          <w:tcPr>
            <w:tcW w:type="dxa" w:w="2401"/>
            <w:vMerge w:val="continue"/>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r>
          </w:p>
        </w:tc>
        <w:tc>
          <w:tcPr>
            <w:tcW w:type="dxa" w:w="2417"/>
            <w:vMerge w:val="continue"/>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r>
          </w:p>
        </w:tc>
        <w:tc>
          <w:tcPr>
            <w:tcW w:type="dxa" w:w="161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Отопительный период</w:t>
            </w:r>
          </w:p>
        </w:tc>
        <w:tc>
          <w:tcPr>
            <w:tcW w:type="dxa" w:w="1239"/>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Летний период</w:t>
            </w:r>
          </w:p>
        </w:tc>
      </w:tr>
      <w:tr>
        <w:trPr>
          <w:trHeight w:hRule="atLeast" w:val="284"/>
          <w:cantSplit w:val="false"/>
        </w:trPr>
        <w:tc>
          <w:tcPr>
            <w:tcW w:type="dxa" w:w="246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1</w:t>
            </w:r>
          </w:p>
        </w:tc>
        <w:tc>
          <w:tcPr>
            <w:tcW w:type="dxa" w:w="2401"/>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2</w:t>
            </w:r>
          </w:p>
        </w:tc>
        <w:tc>
          <w:tcPr>
            <w:tcW w:type="dxa" w:w="2417"/>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3</w:t>
            </w:r>
          </w:p>
        </w:tc>
        <w:tc>
          <w:tcPr>
            <w:tcW w:type="dxa" w:w="161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4</w:t>
            </w:r>
          </w:p>
        </w:tc>
        <w:tc>
          <w:tcPr>
            <w:tcW w:type="dxa" w:w="1239"/>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5</w:t>
            </w:r>
          </w:p>
        </w:tc>
      </w:tr>
      <w:tr>
        <w:trPr>
          <w:trHeight w:hRule="atLeast" w:val="284"/>
          <w:cantSplit w:val="false"/>
        </w:trPr>
        <w:tc>
          <w:tcPr>
            <w:tcW w:type="dxa" w:w="10137"/>
            <w:gridSpan w:val="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Характеристика теплосети СЦТ в 2015 г.</w:t>
            </w:r>
          </w:p>
        </w:tc>
      </w:tr>
      <w:tr>
        <w:trPr>
          <w:trHeight w:hRule="atLeast" w:val="284"/>
          <w:cantSplit w:val="false"/>
        </w:trPr>
        <w:tc>
          <w:tcPr>
            <w:tcW w:type="dxa" w:w="246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СЦТ от котельной</w:t>
            </w:r>
          </w:p>
        </w:tc>
        <w:tc>
          <w:tcPr>
            <w:tcW w:type="dxa" w:w="2401"/>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977</w:t>
            </w:r>
          </w:p>
        </w:tc>
        <w:tc>
          <w:tcPr>
            <w:tcW w:type="dxa" w:w="2417"/>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0,102</w:t>
            </w:r>
          </w:p>
        </w:tc>
        <w:tc>
          <w:tcPr>
            <w:tcW w:type="dxa" w:w="1604"/>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50,64</w:t>
            </w:r>
          </w:p>
        </w:tc>
        <w:tc>
          <w:tcPr>
            <w:tcW w:type="dxa" w:w="1250"/>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4"/>
                <w:szCs w:val="24"/>
              </w:rPr>
              <w:t>-</w:t>
            </w:r>
          </w:p>
        </w:tc>
      </w:tr>
    </w:tbl>
    <w:p>
      <w:pPr>
        <w:pStyle w:val="style0"/>
        <w:widowControl w:val="false"/>
        <w:spacing w:after="0" w:before="0" w:line="100" w:lineRule="atLeast"/>
        <w:ind w:hanging="0" w:left="740" w:right="0"/>
        <w:contextualSpacing w:val="false"/>
      </w:pPr>
      <w:bookmarkStart w:id="19" w:name="page59"/>
      <w:bookmarkStart w:id="20" w:name="page59"/>
      <w:bookmarkEnd w:id="20"/>
      <w:r>
        <w:rPr>
          <w:rFonts w:ascii="Times New Roman" w:hAnsi="Times New Roman"/>
          <w:b/>
          <w:bCs/>
          <w:sz w:val="24"/>
          <w:szCs w:val="24"/>
        </w:rPr>
      </w:r>
    </w:p>
    <w:p>
      <w:pPr>
        <w:pStyle w:val="style0"/>
        <w:widowControl w:val="false"/>
        <w:overflowPunct w:val="true"/>
        <w:spacing w:after="0" w:before="0" w:line="220" w:lineRule="auto"/>
        <w:ind w:firstLine="720" w:left="20" w:right="60"/>
        <w:contextualSpacing w:val="false"/>
        <w:jc w:val="both"/>
      </w:pPr>
      <w:r>
        <w:rPr>
          <w:rFonts w:ascii="Times New Roman" w:hAnsi="Times New Roman"/>
          <w:sz w:val="24"/>
          <w:szCs w:val="24"/>
        </w:rPr>
        <w:t>Как отмечено выше, тепловые сети п. Дубитель представлена структура тепловых сетей по их типу прокладки в таблице 1.5.</w:t>
      </w:r>
    </w:p>
    <w:p>
      <w:pPr>
        <w:pStyle w:val="style0"/>
        <w:widowControl w:val="false"/>
        <w:overflowPunct w:val="true"/>
        <w:spacing w:after="0" w:before="0" w:line="220" w:lineRule="auto"/>
        <w:ind w:firstLine="720" w:left="20" w:right="60"/>
        <w:contextualSpacing w:val="false"/>
        <w:jc w:val="both"/>
      </w:pPr>
      <w:r>
        <w:rPr>
          <w:rFonts w:ascii="Times New Roman" w:hAnsi="Times New Roman"/>
          <w:sz w:val="24"/>
          <w:szCs w:val="24"/>
        </w:rPr>
      </w:r>
    </w:p>
    <w:p>
      <w:pPr>
        <w:pStyle w:val="style0"/>
        <w:widowControl w:val="false"/>
        <w:spacing w:after="0" w:before="0" w:line="1" w:lineRule="exact"/>
        <w:contextualSpacing w:val="false"/>
      </w:pPr>
      <w:r>
        <w:rPr>
          <w:rFonts w:ascii="Times New Roman" w:hAnsi="Times New Roman"/>
          <w:sz w:val="24"/>
          <w:szCs w:val="24"/>
        </w:rPr>
      </w:r>
    </w:p>
    <w:p>
      <w:pPr>
        <w:pStyle w:val="style0"/>
        <w:widowControl w:val="false"/>
        <w:spacing w:after="0" w:before="0" w:line="100" w:lineRule="atLeast"/>
        <w:ind w:hanging="0" w:left="20" w:right="0"/>
        <w:contextualSpacing w:val="false"/>
      </w:pPr>
      <w:r>
        <w:rPr>
          <w:rFonts w:ascii="Times New Roman" w:hAnsi="Times New Roman"/>
          <w:sz w:val="24"/>
          <w:szCs w:val="24"/>
        </w:rPr>
        <w:t>Таблица 1.5. - Структура тепловых сетей по их типу прокладки</w:t>
      </w:r>
    </w:p>
    <w:tbl>
      <w:tblPr>
        <w:jc w:val="left"/>
        <w:tblInd w:type="dxa" w:w="19"/>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2920"/>
        <w:gridCol w:w="2511"/>
        <w:gridCol w:w="2009"/>
        <w:gridCol w:w="2265"/>
      </w:tblGrid>
      <w:tr>
        <w:trPr>
          <w:trHeight w:hRule="atLeast" w:val="945"/>
          <w:cantSplit w:val="false"/>
        </w:trPr>
        <w:tc>
          <w:tcPr>
            <w:tcW w:type="dxa" w:w="2920"/>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Наименование теплоснабжающей и теплосетевой организации</w:t>
            </w:r>
          </w:p>
        </w:tc>
        <w:tc>
          <w:tcPr>
            <w:tcW w:type="dxa" w:w="2511"/>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Тип прокладки трубопроводов</w:t>
            </w:r>
          </w:p>
        </w:tc>
        <w:tc>
          <w:tcPr>
            <w:tcW w:type="dxa" w:w="2009"/>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Протяж. Труб. тс в двухтрубном исчислении, м</w:t>
            </w:r>
          </w:p>
        </w:tc>
        <w:tc>
          <w:tcPr>
            <w:tcW w:type="dxa" w:w="226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Сред. (по матер. характер.) наруж. диаметр труб. тс, м</w:t>
            </w:r>
          </w:p>
        </w:tc>
      </w:tr>
      <w:tr>
        <w:trPr>
          <w:trHeight w:hRule="atLeast" w:val="225"/>
          <w:cantSplit w:val="false"/>
        </w:trPr>
        <w:tc>
          <w:tcPr>
            <w:tcW w:type="dxa" w:w="2920"/>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1</w:t>
            </w:r>
          </w:p>
        </w:tc>
        <w:tc>
          <w:tcPr>
            <w:tcW w:type="dxa" w:w="2511"/>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w:t>
            </w:r>
          </w:p>
        </w:tc>
        <w:tc>
          <w:tcPr>
            <w:tcW w:type="dxa" w:w="2009"/>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3</w:t>
            </w:r>
          </w:p>
        </w:tc>
        <w:tc>
          <w:tcPr>
            <w:tcW w:type="dxa" w:w="226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4</w:t>
            </w:r>
          </w:p>
        </w:tc>
      </w:tr>
      <w:tr>
        <w:trPr>
          <w:trHeight w:hRule="atLeast" w:val="235"/>
          <w:cantSplit w:val="false"/>
        </w:trPr>
        <w:tc>
          <w:tcPr>
            <w:tcW w:type="dxa" w:w="2920"/>
            <w:vMerge w:val="restart"/>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Котельная</w:t>
            </w:r>
          </w:p>
        </w:tc>
        <w:tc>
          <w:tcPr>
            <w:tcW w:type="dxa" w:w="2511"/>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Надземная</w:t>
            </w:r>
          </w:p>
        </w:tc>
        <w:tc>
          <w:tcPr>
            <w:tcW w:type="dxa" w:w="2009"/>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945</w:t>
            </w:r>
          </w:p>
        </w:tc>
        <w:tc>
          <w:tcPr>
            <w:tcW w:type="dxa" w:w="226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0,057</w:t>
            </w:r>
          </w:p>
        </w:tc>
      </w:tr>
      <w:tr>
        <w:trPr>
          <w:trHeight w:hRule="atLeast" w:val="145"/>
          <w:cantSplit w:val="false"/>
        </w:trPr>
        <w:tc>
          <w:tcPr>
            <w:tcW w:type="dxa" w:w="2920"/>
            <w:vMerge w:val="continue"/>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r>
          </w:p>
        </w:tc>
        <w:tc>
          <w:tcPr>
            <w:tcW w:type="dxa" w:w="2511"/>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Подземная</w:t>
            </w:r>
          </w:p>
        </w:tc>
        <w:tc>
          <w:tcPr>
            <w:tcW w:type="dxa" w:w="2009"/>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32</w:t>
            </w:r>
          </w:p>
        </w:tc>
        <w:tc>
          <w:tcPr>
            <w:tcW w:type="dxa" w:w="226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0,25</w:t>
            </w:r>
          </w:p>
        </w:tc>
      </w:tr>
      <w:tr>
        <w:trPr>
          <w:trHeight w:hRule="atLeast" w:val="145"/>
          <w:cantSplit w:val="false"/>
        </w:trPr>
        <w:tc>
          <w:tcPr>
            <w:tcW w:type="dxa" w:w="2920"/>
            <w:vMerge w:val="continue"/>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r>
          </w:p>
        </w:tc>
        <w:tc>
          <w:tcPr>
            <w:tcW w:type="dxa" w:w="2511"/>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b/>
                <w:sz w:val="20"/>
                <w:szCs w:val="24"/>
              </w:rPr>
              <w:t>Итого</w:t>
            </w:r>
          </w:p>
        </w:tc>
        <w:tc>
          <w:tcPr>
            <w:tcW w:type="dxa" w:w="2009"/>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b/>
                <w:sz w:val="20"/>
                <w:szCs w:val="24"/>
              </w:rPr>
              <w:t>977</w:t>
            </w:r>
          </w:p>
        </w:tc>
        <w:tc>
          <w:tcPr>
            <w:tcW w:type="dxa" w:w="2265"/>
            <w:tcBorders>
              <w:top w:color="00000A" w:space="0" w:sz="8" w:val="single"/>
              <w:left w:color="00000A" w:space="0" w:sz="8" w:val="single"/>
              <w:bottom w:color="00000A" w:space="0" w:sz="8" w:val="single"/>
              <w:right w:color="00000A" w:space="0" w:sz="8" w:val="single"/>
            </w:tcBorders>
            <w:shd w:fill="FFFFFF"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b/>
                <w:sz w:val="20"/>
                <w:szCs w:val="24"/>
              </w:rPr>
              <w:t>0,102</w:t>
            </w:r>
          </w:p>
        </w:tc>
      </w:tr>
    </w:tbl>
    <w:p>
      <w:pPr>
        <w:pStyle w:val="style0"/>
        <w:widowControl w:val="false"/>
        <w:spacing w:after="0" w:before="0" w:line="100" w:lineRule="atLeast"/>
        <w:ind w:hanging="0" w:left="20" w:right="0"/>
        <w:contextualSpacing w:val="false"/>
      </w:pPr>
      <w:r>
        <w:rPr>
          <w:rFonts w:ascii="Times New Roman" w:hAnsi="Times New Roman"/>
          <w:sz w:val="24"/>
          <w:szCs w:val="24"/>
        </w:rPr>
      </w:r>
    </w:p>
    <w:p>
      <w:pPr>
        <w:pStyle w:val="style0"/>
        <w:widowControl w:val="false"/>
        <w:spacing w:after="0" w:before="0" w:line="100" w:lineRule="atLeast"/>
        <w:ind w:firstLine="709" w:left="0" w:right="0"/>
        <w:contextualSpacing w:val="false"/>
        <w:jc w:val="both"/>
      </w:pPr>
      <w:r>
        <w:rPr>
          <w:rFonts w:ascii="Times New Roman" w:hAnsi="Times New Roman"/>
          <w:sz w:val="24"/>
          <w:szCs w:val="24"/>
        </w:rPr>
        <w:t>97% доля тепловых сетей приходится на надземный тип прокладки, 3% на подземный тип.</w:t>
      </w:r>
    </w:p>
    <w:p>
      <w:pPr>
        <w:pStyle w:val="style0"/>
        <w:widowControl w:val="false"/>
        <w:spacing w:after="0" w:before="0" w:line="100" w:lineRule="atLeast"/>
        <w:ind w:firstLine="709" w:left="0" w:right="0"/>
        <w:contextualSpacing w:val="false"/>
      </w:pPr>
      <w:r>
        <w:rPr>
          <w:rFonts w:ascii="Times New Roman" w:hAnsi="Times New Roman"/>
          <w:sz w:val="24"/>
          <w:szCs w:val="24"/>
        </w:rPr>
      </w:r>
    </w:p>
    <w:p>
      <w:pPr>
        <w:pStyle w:val="style0"/>
        <w:widowControl w:val="false"/>
        <w:spacing w:after="0" w:before="0" w:line="100" w:lineRule="atLeast"/>
        <w:contextualSpacing w:val="false"/>
        <w:jc w:val="center"/>
      </w:pPr>
      <w:r>
        <w:rPr>
          <w:lang w:eastAsia="ru-RU"/>
        </w:rPr>
      </w:r>
    </w:p>
    <w:p>
      <w:pPr>
        <w:pStyle w:val="style0"/>
        <w:widowControl w:val="false"/>
        <w:spacing w:after="0" w:before="0" w:line="100" w:lineRule="atLeast"/>
        <w:contextualSpacing w:val="false"/>
        <w:jc w:val="center"/>
      </w:pPr>
      <w:r>
        <w:rPr>
          <w:rFonts w:ascii="Times New Roman" w:hAnsi="Times New Roman"/>
          <w:bCs/>
          <w:sz w:val="24"/>
          <w:szCs w:val="24"/>
        </w:rPr>
        <w:t>Ри</w:t>
      </w:r>
      <w:r>
        <w:rPr>
          <w:rFonts w:ascii="Times New Roman" w:hAnsi="Times New Roman"/>
          <w:sz w:val="24"/>
          <w:szCs w:val="24"/>
        </w:rPr>
        <w:t xml:space="preserve">сунок 1.1. - </w:t>
      </w:r>
      <w:r>
        <w:rPr>
          <w:rFonts w:ascii="Times New Roman" w:hAnsi="Times New Roman"/>
          <w:bCs/>
          <w:sz w:val="24"/>
          <w:szCs w:val="24"/>
        </w:rPr>
        <w:t>Распределение протяженности т/с по диаметрам</w:t>
      </w:r>
    </w:p>
    <w:p>
      <w:pPr>
        <w:pStyle w:val="style0"/>
        <w:widowControl w:val="false"/>
        <w:spacing w:after="0" w:before="0" w:line="100" w:lineRule="atLeast"/>
        <w:ind w:firstLine="709" w:left="0" w:right="0"/>
        <w:contextualSpacing w:val="false"/>
      </w:pPr>
      <w:r>
        <w:rPr>
          <w:rFonts w:ascii="Times New Roman" w:hAnsi="Times New Roman"/>
          <w:sz w:val="24"/>
        </w:rPr>
      </w:r>
    </w:p>
    <w:p>
      <w:pPr>
        <w:pStyle w:val="style0"/>
        <w:widowControl w:val="false"/>
        <w:spacing w:after="0" w:before="0" w:line="100" w:lineRule="atLeast"/>
        <w:ind w:firstLine="709" w:left="0" w:right="0"/>
        <w:contextualSpacing w:val="false"/>
        <w:jc w:val="both"/>
      </w:pPr>
      <w:r>
        <w:rPr>
          <w:rFonts w:ascii="Times New Roman" w:hAnsi="Times New Roman"/>
          <w:sz w:val="24"/>
        </w:rPr>
        <w:t>Из рисунка 1.1. видно, что наибольшую протяженность имеют трубопроводы с условным диаметром Ду 69 мм, наименьшую – Ду 250 мм.</w:t>
      </w:r>
    </w:p>
    <w:p>
      <w:pPr>
        <w:pStyle w:val="style1"/>
        <w:ind w:firstLine="709" w:left="0" w:right="0"/>
      </w:pPr>
      <w:bookmarkStart w:id="21" w:name="__RefHeading__3200_1577988068"/>
      <w:bookmarkStart w:id="22" w:name="_Toc445886186"/>
      <w:bookmarkEnd w:id="21"/>
      <w:bookmarkEnd w:id="22"/>
      <w:r>
        <w:rPr>
          <w:rFonts w:ascii="Times New Roman" w:cs="Times New Roman" w:hAnsi="Times New Roman"/>
          <w:bCs w:val="false"/>
          <w:color w:val="00000A"/>
          <w:sz w:val="24"/>
          <w:szCs w:val="24"/>
        </w:rPr>
        <w:t>1.3 Основные проблемы организации теплоснабжения</w:t>
      </w:r>
    </w:p>
    <w:p>
      <w:pPr>
        <w:pStyle w:val="style0"/>
        <w:widowControl w:val="false"/>
        <w:spacing w:after="0" w:before="0" w:line="237" w:lineRule="auto"/>
        <w:ind w:firstLine="709" w:left="0" w:right="0"/>
        <w:contextualSpacing w:val="false"/>
      </w:pPr>
      <w:r>
        <w:rPr>
          <w:rFonts w:ascii="Times New Roman" w:cs="Times New Roman" w:hAnsi="Times New Roman"/>
          <w:b/>
          <w:bCs/>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Основными проблемами организации теплоснабжения в </w:t>
      </w:r>
      <w:r>
        <w:rPr>
          <w:rFonts w:ascii="Times New Roman" w:hAnsi="Times New Roman"/>
          <w:sz w:val="24"/>
          <w:szCs w:val="24"/>
        </w:rPr>
        <w:t>п. Дубитель</w:t>
      </w:r>
      <w:r>
        <w:rPr>
          <w:rFonts w:ascii="Times New Roman" w:cs="Times New Roman" w:hAnsi="Times New Roman"/>
          <w:color w:val="000000"/>
          <w:sz w:val="24"/>
          <w:szCs w:val="24"/>
        </w:rPr>
        <w:t xml:space="preserve"> являются: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предельный износ тепловых сетей, завышенные, как минимум, вдвое потери тепла и воды в тепловых сетях;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отсутствия налаженного гидравлического режима;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отсутствие средств автоматизации абонентских вводах;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точечное индивидуальное теплоснабжение квартир в многоэтажных жилых домах разбалансирующие внутридомовой разбор теплоносителя; </w:t>
      </w:r>
    </w:p>
    <w:p>
      <w:pPr>
        <w:pStyle w:val="style0"/>
        <w:widowControl w:val="false"/>
        <w:spacing w:after="0" w:before="0" w:line="237" w:lineRule="auto"/>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несанкционированный отбор теплоносителя потребителями на хозяйственные нужды.</w:t>
      </w:r>
    </w:p>
    <w:p>
      <w:pPr>
        <w:pStyle w:val="style1"/>
        <w:ind w:firstLine="709" w:left="0" w:right="0"/>
      </w:pPr>
      <w:bookmarkStart w:id="23" w:name="__RefHeading__3202_1577988068"/>
      <w:bookmarkStart w:id="24" w:name="_Toc445886187"/>
      <w:bookmarkEnd w:id="23"/>
      <w:bookmarkEnd w:id="24"/>
      <w:r>
        <w:rPr>
          <w:rFonts w:ascii="Times New Roman" w:cs="Times New Roman" w:hAnsi="Times New Roman"/>
          <w:bCs w:val="false"/>
          <w:color w:val="00000A"/>
          <w:sz w:val="24"/>
          <w:szCs w:val="24"/>
        </w:rPr>
        <w:t>1.3.1 Описание существующих проблем развития систем теплоснабжения</w:t>
      </w:r>
    </w:p>
    <w:p>
      <w:pPr>
        <w:pStyle w:val="style0"/>
        <w:widowControl w:val="false"/>
        <w:spacing w:after="0" w:before="0" w:line="237" w:lineRule="auto"/>
        <w:ind w:firstLine="709" w:left="0" w:right="0"/>
        <w:contextualSpacing w:val="false"/>
      </w:pPr>
      <w:r>
        <w:rPr>
          <w:rFonts w:ascii="Times New Roman" w:cs="Times New Roman" w:hAnsi="Times New Roman"/>
          <w:b/>
          <w:bCs/>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3"/>
        </w:rPr>
        <w:t xml:space="preserve">По существующему тепловому балансу мощности источника теплоснабжения </w:t>
      </w:r>
      <w:r>
        <w:rPr>
          <w:rFonts w:ascii="Times New Roman" w:hAnsi="Times New Roman"/>
          <w:sz w:val="24"/>
          <w:szCs w:val="24"/>
        </w:rPr>
        <w:t>п. Дубитель</w:t>
      </w:r>
      <w:r>
        <w:rPr>
          <w:rFonts w:ascii="Times New Roman" w:cs="Times New Roman" w:hAnsi="Times New Roman"/>
          <w:color w:val="000000"/>
          <w:sz w:val="24"/>
          <w:szCs w:val="23"/>
        </w:rPr>
        <w:t xml:space="preserve"> и договорной нагрузки потребителей, дефицит располагаемой тепловой мощности отсутствует. </w:t>
      </w:r>
    </w:p>
    <w:p>
      <w:pPr>
        <w:pStyle w:val="style0"/>
        <w:widowControl w:val="false"/>
        <w:spacing w:after="0" w:before="0" w:line="237" w:lineRule="auto"/>
        <w:ind w:firstLine="709" w:left="0" w:right="0"/>
        <w:contextualSpacing w:val="false"/>
        <w:jc w:val="both"/>
      </w:pPr>
      <w:r>
        <w:rPr>
          <w:rFonts w:ascii="Times New Roman" w:cs="Times New Roman" w:hAnsi="Times New Roman"/>
          <w:color w:val="000000"/>
          <w:sz w:val="24"/>
          <w:szCs w:val="23"/>
        </w:rPr>
        <w:t xml:space="preserve">В </w:t>
      </w:r>
      <w:r>
        <w:rPr>
          <w:rFonts w:ascii="Times New Roman" w:hAnsi="Times New Roman"/>
          <w:sz w:val="24"/>
          <w:szCs w:val="24"/>
        </w:rPr>
        <w:t>п. Дубитель</w:t>
      </w:r>
      <w:r>
        <w:rPr>
          <w:rFonts w:ascii="Times New Roman" w:cs="Times New Roman" w:hAnsi="Times New Roman"/>
          <w:color w:val="000000"/>
          <w:sz w:val="24"/>
          <w:szCs w:val="23"/>
        </w:rPr>
        <w:t xml:space="preserve"> работает одна котельная. Располагаемая мощность источника составляет 0,43 Гкал/час, при этом нагрузка составляет 0,424 Гкал/час.</w:t>
      </w:r>
    </w:p>
    <w:p>
      <w:pPr>
        <w:pStyle w:val="style1"/>
        <w:ind w:firstLine="709" w:left="0" w:right="0"/>
      </w:pPr>
      <w:bookmarkStart w:id="25" w:name="__RefHeading__3204_1577988068"/>
      <w:bookmarkStart w:id="26" w:name="_Toc445886188"/>
      <w:bookmarkEnd w:id="25"/>
      <w:bookmarkEnd w:id="26"/>
      <w:r>
        <w:rPr>
          <w:rFonts w:ascii="Times New Roman" w:cs="Times New Roman" w:hAnsi="Times New Roman"/>
          <w:bCs w:val="false"/>
          <w:color w:val="00000A"/>
          <w:sz w:val="24"/>
          <w:szCs w:val="24"/>
        </w:rPr>
        <w:t>1.4 Основные положения технической политики</w:t>
      </w:r>
    </w:p>
    <w:p>
      <w:pPr>
        <w:pStyle w:val="style0"/>
        <w:widowControl w:val="false"/>
        <w:spacing w:after="0" w:before="0" w:line="237" w:lineRule="auto"/>
        <w:ind w:hanging="0" w:left="560" w:right="0"/>
        <w:contextualSpacing w:val="false"/>
      </w:pPr>
      <w:r>
        <w:rPr>
          <w:rFonts w:ascii="Times New Roman" w:hAnsi="Times New Roman"/>
          <w:b/>
          <w:bCs/>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При разработке схемы теплоснабжения </w:t>
      </w:r>
      <w:r>
        <w:rPr>
          <w:rFonts w:ascii="Times New Roman" w:hAnsi="Times New Roman"/>
          <w:sz w:val="24"/>
          <w:szCs w:val="24"/>
        </w:rPr>
        <w:t>п. Дубитель</w:t>
      </w:r>
      <w:r>
        <w:rPr>
          <w:rFonts w:ascii="Times New Roman" w:cs="Times New Roman" w:hAnsi="Times New Roman"/>
          <w:color w:val="000000"/>
          <w:sz w:val="24"/>
          <w:szCs w:val="24"/>
        </w:rPr>
        <w:t xml:space="preserve">  нами предложены следующие группы предложений по источникам и тепловым сетям:</w:t>
      </w:r>
    </w:p>
    <w:p>
      <w:pPr>
        <w:pStyle w:val="style0"/>
        <w:spacing w:after="0" w:before="0" w:line="100" w:lineRule="atLeast"/>
        <w:ind w:firstLine="709" w:left="0" w:right="0"/>
        <w:contextualSpacing w:val="false"/>
        <w:jc w:val="both"/>
      </w:pPr>
      <w:r>
        <w:rPr>
          <w:rFonts w:ascii="Times New Roman" w:cs="Times New Roman" w:hAnsi="Times New Roman"/>
          <w:color w:val="000000"/>
          <w:sz w:val="23"/>
          <w:szCs w:val="23"/>
        </w:rPr>
        <w:t xml:space="preserve">1. Развитие источников теплоснабжения в период с 2015 до 2020 г. </w:t>
      </w:r>
    </w:p>
    <w:p>
      <w:pPr>
        <w:pStyle w:val="style0"/>
        <w:spacing w:after="0" w:before="0" w:line="100" w:lineRule="atLeast"/>
        <w:ind w:firstLine="709" w:left="0" w:right="0"/>
        <w:contextualSpacing w:val="false"/>
        <w:jc w:val="both"/>
      </w:pPr>
      <w:r>
        <w:rPr>
          <w:rFonts w:ascii="Times New Roman" w:cs="Times New Roman" w:hAnsi="Times New Roman"/>
          <w:color w:val="000000"/>
          <w:sz w:val="23"/>
          <w:szCs w:val="23"/>
        </w:rPr>
        <w:t xml:space="preserve">– </w:t>
      </w:r>
      <w:r>
        <w:rPr>
          <w:rFonts w:ascii="Times New Roman" w:hAnsi="Times New Roman"/>
          <w:sz w:val="24"/>
        </w:rPr>
        <w:t xml:space="preserve">предлагается перевод потребителей, снабжающихся тепловой энергией от существующей котельной, на баланс вновь строящейся автоматизированной блочно-модульной котельной. На котельной предлагается установка водогрейных котлов, что даст снижение затрат на приготовления теплоносителя. </w:t>
      </w:r>
      <w:r>
        <w:rPr>
          <w:rFonts w:ascii="Times New Roman" w:cs="Times New Roman" w:hAnsi="Times New Roman"/>
          <w:color w:val="000000"/>
          <w:sz w:val="23"/>
          <w:szCs w:val="23"/>
        </w:rPr>
        <w:t xml:space="preserve"> </w:t>
      </w:r>
    </w:p>
    <w:p>
      <w:pPr>
        <w:pStyle w:val="style0"/>
        <w:spacing w:after="0" w:before="0" w:line="100" w:lineRule="atLeast"/>
        <w:ind w:firstLine="709" w:left="0" w:right="0"/>
        <w:contextualSpacing w:val="false"/>
        <w:jc w:val="both"/>
      </w:pPr>
      <w:r>
        <w:rPr>
          <w:rFonts w:ascii="Times New Roman" w:cs="Times New Roman" w:hAnsi="Times New Roman"/>
          <w:color w:val="000000"/>
          <w:sz w:val="23"/>
          <w:szCs w:val="23"/>
        </w:rPr>
        <w:t xml:space="preserve">2. Реконструкция тепловых сетей с увеличением диаметра трубопроводов для обеспечения перспективных приростов тепловой нагрузки. </w:t>
      </w:r>
    </w:p>
    <w:p>
      <w:pPr>
        <w:pStyle w:val="style0"/>
        <w:spacing w:after="0" w:before="0" w:line="100" w:lineRule="atLeast"/>
        <w:ind w:firstLine="709" w:left="0" w:right="0"/>
        <w:contextualSpacing w:val="false"/>
        <w:jc w:val="both"/>
      </w:pPr>
      <w:r>
        <w:rPr>
          <w:rFonts w:ascii="Times New Roman" w:cs="Times New Roman" w:hAnsi="Times New Roman"/>
          <w:color w:val="000000"/>
          <w:sz w:val="23"/>
          <w:szCs w:val="23"/>
        </w:rPr>
        <w:t xml:space="preserve">3. Реконструкция тепловых сетей с оптимизацией диаметров трубопроводов. </w:t>
      </w:r>
    </w:p>
    <w:p>
      <w:pPr>
        <w:pStyle w:val="style0"/>
        <w:spacing w:after="0" w:before="0" w:line="100" w:lineRule="atLeast"/>
        <w:ind w:firstLine="709" w:left="0" w:right="0"/>
        <w:contextualSpacing w:val="false"/>
        <w:jc w:val="both"/>
      </w:pPr>
      <w:r>
        <w:rPr>
          <w:rFonts w:ascii="Times New Roman" w:cs="Times New Roman" w:hAnsi="Times New Roman"/>
          <w:color w:val="000000"/>
          <w:sz w:val="23"/>
          <w:szCs w:val="23"/>
        </w:rPr>
        <w:t xml:space="preserve">4. Реконструкция тепловых сетей, подлежащих замене в связи с исчерпанием эксплуатационного ресурса. </w:t>
      </w:r>
    </w:p>
    <w:p>
      <w:pPr>
        <w:pStyle w:val="style1"/>
        <w:ind w:firstLine="709" w:left="0" w:right="0"/>
      </w:pPr>
      <w:bookmarkStart w:id="27" w:name="__RefHeading__3206_1577988068"/>
      <w:bookmarkStart w:id="28" w:name="_Toc445886189"/>
      <w:bookmarkEnd w:id="27"/>
      <w:r>
        <w:rPr>
          <w:rFonts w:ascii="Times New Roman" w:cs="Times New Roman" w:hAnsi="Times New Roman"/>
          <w:bCs w:val="false"/>
          <w:color w:val="00000A"/>
          <w:sz w:val="24"/>
          <w:szCs w:val="24"/>
        </w:rPr>
        <w:t>1.5 Целевые показатели эффективности работы систем теплоснабжения</w:t>
      </w:r>
      <w:bookmarkEnd w:id="28"/>
      <w:r>
        <w:rPr>
          <w:rFonts w:ascii="Times New Roman" w:cs="Times New Roman" w:hAnsi="Times New Roman"/>
          <w:bCs w:val="false"/>
          <w:color w:val="00000A"/>
          <w:sz w:val="24"/>
          <w:szCs w:val="24"/>
        </w:rPr>
        <w:t xml:space="preserve"> </w:t>
      </w:r>
      <w:r>
        <w:rPr>
          <w:rFonts w:ascii="Times New Roman" w:cs="Times New Roman" w:hAnsi="Times New Roman"/>
          <w:color w:val="00000A"/>
          <w:sz w:val="24"/>
          <w:szCs w:val="24"/>
        </w:rPr>
        <w:t xml:space="preserve"> </w:t>
      </w:r>
    </w:p>
    <w:p>
      <w:pPr>
        <w:pStyle w:val="style0"/>
        <w:widowControl w:val="false"/>
        <w:spacing w:after="0" w:before="0" w:line="237" w:lineRule="auto"/>
        <w:ind w:firstLine="709" w:left="560" w:right="0"/>
        <w:contextualSpacing w:val="false"/>
      </w:pPr>
      <w:r>
        <w:rPr>
          <w:rFonts w:ascii="Times New Roman" w:hAnsi="Times New Roman"/>
          <w:b/>
          <w:bCs/>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Существующее состояние теплоснабжения в </w:t>
      </w:r>
      <w:r>
        <w:rPr>
          <w:rFonts w:ascii="Times New Roman" w:hAnsi="Times New Roman"/>
          <w:sz w:val="24"/>
          <w:szCs w:val="24"/>
        </w:rPr>
        <w:t>п. Дубитель</w:t>
      </w:r>
      <w:r>
        <w:rPr>
          <w:rFonts w:ascii="Times New Roman" w:cs="Times New Roman" w:hAnsi="Times New Roman"/>
          <w:color w:val="000000"/>
          <w:sz w:val="24"/>
          <w:szCs w:val="24"/>
        </w:rPr>
        <w:t xml:space="preserve"> зафиксировано в значениях базовых целевых показателей функционирования систем теплоснабжения городского поселения, определенно при анализе существующего положения.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Целевые показатели разделены на две группы. В первую группу включены показатели формирующие прогноз перспективного спроса на тепловую мощность и тепловую энергию.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Общее влияние прироста перспективной нагрузки к 2030 году определена на уровне 0,424 Гкал/час.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Вторая группа показателей характеризует энергетическую эффективность теплоисточника: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количество тепловой энергии отпущенной в сеть – 1619,35 Гкал;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присоединенная тепловая нагрузка потребителей – 0,424 Гкал/ч;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величина собственных нужд – 0,017 Гкал/ч;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потери тепловой энергии в сеть – 0,046 Гкал/ч; </w:t>
      </w:r>
    </w:p>
    <w:p>
      <w:pPr>
        <w:pStyle w:val="style0"/>
        <w:widowControl w:val="false"/>
        <w:spacing w:after="0" w:before="0" w:line="237" w:lineRule="auto"/>
        <w:ind w:firstLine="709" w:left="0" w:right="0"/>
        <w:contextualSpacing w:val="false"/>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средневзвешенный срок службы оборудования;</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прогнозируемый расход топлива;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УРТ на отпуск тепловой энергии – 221,73 т.у.т.;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коэффициент использования установленной тепловой мощности.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t xml:space="preserve">Для тепловых сетей: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color w:val="000000"/>
          <w:sz w:val="24"/>
          <w:szCs w:val="24"/>
        </w:rPr>
        <w:t xml:space="preserve">потери тепловой энергии в теплосети – 3,7 % от отпуска тепловой энергии с коллекторов источника тепловой энергии. </w:t>
      </w:r>
    </w:p>
    <w:p>
      <w:pPr>
        <w:pStyle w:val="style0"/>
        <w:widowControl w:val="false"/>
        <w:spacing w:after="0" w:before="0" w:line="237" w:lineRule="auto"/>
        <w:ind w:firstLine="709" w:left="0" w:right="0"/>
        <w:contextualSpacing w:val="false"/>
      </w:pPr>
      <w:r>
        <w:rPr>
          <w:rFonts w:ascii="Times New Roman" w:cs="Times New Roman" w:hAnsi="Times New Roman"/>
          <w:color w:val="000000"/>
          <w:sz w:val="24"/>
          <w:szCs w:val="24"/>
        </w:rPr>
        <w:t xml:space="preserve">– </w:t>
      </w:r>
      <w:r>
        <w:rPr>
          <w:rFonts w:ascii="Times New Roman" w:hAnsi="Times New Roman"/>
          <w:color w:val="000000"/>
          <w:sz w:val="20"/>
          <w:szCs w:val="20"/>
          <w:lang w:eastAsia="ru-RU"/>
        </w:rPr>
        <w:t xml:space="preserve">Средний радиус теплоснабжения, </w:t>
      </w:r>
      <w:r>
        <w:rPr>
          <w:rFonts w:ascii="Times New Roman" w:hAnsi="Times New Roman"/>
          <w:color w:val="000000"/>
          <w:sz w:val="20"/>
          <w:szCs w:val="20"/>
          <w:lang w:eastAsia="ru-RU"/>
        </w:rPr>
      </w:r>
      <m:oMath xmlns:m="http://schemas.openxmlformats.org/officeDocument/2006/math">
        <m:acc>
          <m:accPr>
            <m:chr m:val="́"/>
          </m:accPr>
          <m:e>
            <m:sSub>
              <m:e>
                <m:r>
                  <w:rPr>
                    <w:rFonts w:ascii="Cambria Math" w:hAnsi="Cambria Math"/>
                  </w:rPr>
                  <m:t xml:space="preserve">R</m:t>
                </m:r>
              </m:e>
              <m:sub>
                <m:r>
                  <w:rPr>
                    <w:rFonts w:ascii="Cambria Math" w:hAnsi="Cambria Math"/>
                  </w:rPr>
                  <m:t xml:space="preserve">ср</m:t>
                </m:r>
              </m:sub>
            </m:sSub>
          </m:e>
        </m:acc>
      </m:oMath>
      <w:r>
        <w:rPr>
          <w:rFonts w:ascii="Times New Roman" w:cs="" w:hAnsi="Times New Roman"/>
          <w:sz w:val="24"/>
          <w:szCs w:val="20"/>
        </w:rPr>
        <w:t xml:space="preserve"> –150,05 м.</w:t>
      </w:r>
    </w:p>
    <w:p>
      <w:pPr>
        <w:pStyle w:val="style1"/>
        <w:ind w:firstLine="709" w:left="0" w:right="0"/>
      </w:pPr>
      <w:bookmarkStart w:id="29" w:name="__RefHeading__3208_1577988068"/>
      <w:bookmarkStart w:id="30" w:name="_Toc445886190"/>
      <w:bookmarkEnd w:id="29"/>
      <w:r>
        <w:rPr>
          <w:rFonts w:ascii="Times New Roman" w:cs="Times New Roman" w:hAnsi="Times New Roman"/>
          <w:bCs w:val="false"/>
          <w:color w:val="00000A"/>
          <w:sz w:val="24"/>
          <w:szCs w:val="24"/>
        </w:rPr>
        <w:t>1.6 Состав документов схемы теплоснабжения</w:t>
      </w:r>
      <w:bookmarkEnd w:id="30"/>
      <w:r>
        <w:rPr>
          <w:rFonts w:ascii="Times New Roman" w:cs="Times New Roman" w:hAnsi="Times New Roman"/>
          <w:bCs w:val="false"/>
          <w:color w:val="00000A"/>
          <w:sz w:val="24"/>
          <w:szCs w:val="24"/>
        </w:rPr>
        <w:t xml:space="preserve">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В соответствии с требованиями к схемам теплоснабжения, установленными Постановлением Правительства РФ от 22.02.2012 года № 154, в состав документов схемы теплоснабжения включены следующие разделы и приложения, составляющие обосновывающие материалы к схеме теплоснабжения </w:t>
      </w:r>
      <w:r>
        <w:rPr>
          <w:rFonts w:ascii="Times New Roman" w:hAnsi="Times New Roman"/>
          <w:sz w:val="24"/>
          <w:szCs w:val="24"/>
        </w:rPr>
        <w:t>п. Дубитель</w:t>
      </w:r>
      <w:r>
        <w:rPr>
          <w:rFonts w:ascii="Times New Roman" w:cs="Times New Roman" w:hAnsi="Times New Roman"/>
          <w:color w:val="000000"/>
          <w:sz w:val="24"/>
          <w:szCs w:val="24"/>
        </w:rPr>
        <w:t xml:space="preserve"> до 2030 года: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1. Существующее положение в сфере производства, передачи и потребления тепловой энергии для целей теплоснабжения;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2. Перспективное потребление тепловой энергии на цели теплоснабжения;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3. Электронная модель системы теплоснабжения;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4. Перспективные балансы тепловой мощности источников тепловой энергии и тепловой нагрузки;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5. Перспективные балансы производительности водоподготовительных установок;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6. Предложения по строительству, реконструкции и техническому перевооружению источников тепловой энергии;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7. Предложения по строительству и реконструкции тепловых сетей и сооружений на них;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8. Перспективные топливные балансы;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9. Оценка надежности теплоснабжения;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10. Обоснование инвестиций в строительство, реконструкцию и техническое перевооружение;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Раздел 11. Обоснование предложений по определению единых теплоснабжающих организаций; </w:t>
      </w:r>
    </w:p>
    <w:p>
      <w:pPr>
        <w:pStyle w:val="style0"/>
        <w:widowControl w:val="false"/>
        <w:spacing w:after="0" w:before="0" w:line="237" w:lineRule="auto"/>
        <w:ind w:firstLine="709" w:left="0" w:right="0"/>
        <w:contextualSpacing w:val="false"/>
      </w:pPr>
      <w:r>
        <w:rPr>
          <w:rFonts w:ascii="Times New Roman" w:cs="Times New Roman" w:hAnsi="Times New Roman"/>
          <w:color w:val="000000"/>
          <w:sz w:val="24"/>
          <w:szCs w:val="24"/>
        </w:rPr>
        <w:t>Раздел 12. Воздействие на окружающую среду.</w:t>
      </w:r>
    </w:p>
    <w:p>
      <w:pPr>
        <w:pStyle w:val="style0"/>
        <w:widowControl w:val="false"/>
        <w:spacing w:after="0" w:before="0" w:line="237" w:lineRule="auto"/>
        <w:ind w:firstLine="709" w:left="0" w:right="0"/>
        <w:contextualSpacing w:val="false"/>
      </w:pPr>
      <w:r>
        <w:rPr>
          <w:rFonts w:ascii="Times New Roman" w:hAnsi="Times New Roman"/>
          <w:b/>
          <w:bCs/>
          <w:sz w:val="24"/>
          <w:szCs w:val="24"/>
        </w:rPr>
      </w:r>
    </w:p>
    <w:p>
      <w:pPr>
        <w:pStyle w:val="style1"/>
        <w:spacing w:after="0" w:before="0" w:line="100" w:lineRule="atLeast"/>
        <w:ind w:firstLine="709" w:left="0" w:right="0"/>
        <w:contextualSpacing w:val="false"/>
        <w:jc w:val="both"/>
      </w:pPr>
      <w:bookmarkStart w:id="31" w:name="__RefHeading__3210_1577988068"/>
      <w:bookmarkStart w:id="32" w:name="_Toc445886191"/>
      <w:bookmarkEnd w:id="31"/>
      <w:r>
        <w:rPr>
          <w:rFonts w:ascii="Times New Roman" w:cs="Times New Roman" w:hAnsi="Times New Roman"/>
          <w:bCs w:val="false"/>
          <w:color w:val="00000A"/>
          <w:sz w:val="24"/>
          <w:szCs w:val="24"/>
        </w:rPr>
        <w:t xml:space="preserve">2. Показатели перспективного спроса на тепловую энергию (мощность) и теплоноситель в установленных границах </w:t>
      </w:r>
      <w:bookmarkEnd w:id="32"/>
      <w:r>
        <w:rPr>
          <w:rFonts w:ascii="Times New Roman" w:hAnsi="Times New Roman"/>
          <w:color w:val="00000A"/>
          <w:sz w:val="24"/>
          <w:szCs w:val="24"/>
        </w:rPr>
        <w:t>п. Дубитель</w:t>
      </w:r>
    </w:p>
    <w:p>
      <w:pPr>
        <w:pStyle w:val="style1"/>
        <w:spacing w:after="0" w:before="0" w:line="100" w:lineRule="atLeast"/>
        <w:ind w:firstLine="709" w:left="0" w:right="0"/>
        <w:contextualSpacing w:val="false"/>
      </w:pPr>
      <w:bookmarkStart w:id="33" w:name="__RefHeading__3212_1577988068"/>
      <w:bookmarkStart w:id="34" w:name="_Toc445886192"/>
      <w:bookmarkEnd w:id="33"/>
      <w:bookmarkEnd w:id="34"/>
      <w:r>
        <w:rPr>
          <w:rFonts w:ascii="Times New Roman" w:cs="Times New Roman" w:hAnsi="Times New Roman"/>
          <w:bCs w:val="false"/>
          <w:color w:val="00000A"/>
          <w:sz w:val="24"/>
          <w:szCs w:val="24"/>
        </w:rPr>
        <w:t>2.1. Общие положения</w:t>
      </w:r>
    </w:p>
    <w:p>
      <w:pPr>
        <w:pStyle w:val="style0"/>
        <w:widowControl w:val="false"/>
        <w:spacing w:after="0" w:before="0" w:line="237" w:lineRule="auto"/>
        <w:ind w:firstLine="709" w:left="0" w:right="0"/>
        <w:contextualSpacing w:val="false"/>
      </w:pPr>
      <w:r>
        <w:rPr>
          <w:rFonts w:ascii="Times New Roman" w:hAnsi="Times New Roman"/>
          <w:b/>
          <w:bCs/>
          <w:sz w:val="24"/>
          <w:szCs w:val="24"/>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Прогноз спроса на тепловую энергию для перспективной застройки территории </w:t>
      </w:r>
      <w:r>
        <w:rPr>
          <w:rFonts w:ascii="Times New Roman" w:hAnsi="Times New Roman"/>
          <w:sz w:val="24"/>
          <w:szCs w:val="24"/>
        </w:rPr>
        <w:t>п. Дубитель</w:t>
      </w:r>
      <w:r>
        <w:rPr>
          <w:rFonts w:ascii="Times New Roman" w:cs="Times New Roman" w:hAnsi="Times New Roman"/>
          <w:color w:val="000000"/>
          <w:sz w:val="24"/>
          <w:szCs w:val="24"/>
        </w:rPr>
        <w:t xml:space="preserve"> Зубово-Полянского муниципального района Республики Мордовия на период до 2030 г. определялся на основе утвержденного генерального плана: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i/>
          <w:iCs/>
          <w:color w:val="000000"/>
          <w:sz w:val="24"/>
          <w:szCs w:val="24"/>
        </w:rPr>
        <w:t xml:space="preserve">в период до 2020 года </w:t>
      </w:r>
      <w:r>
        <w:rPr>
          <w:rFonts w:ascii="Times New Roman" w:cs="Times New Roman" w:hAnsi="Times New Roman"/>
          <w:color w:val="000000"/>
          <w:sz w:val="24"/>
          <w:szCs w:val="24"/>
        </w:rPr>
        <w:t xml:space="preserve">– по генеральному плану в целях многоэтажного жилищного строительства с указанием площади жилых строений, а также по реестрам планируемых к строительству отдельных зданий: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многоэтажных жилых домов с указанием площади и объема жилых строений;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общественно-деловых зданий с указанием площади и объема зданий.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4"/>
        </w:rPr>
        <w:t xml:space="preserve">– </w:t>
      </w:r>
      <w:r>
        <w:rPr>
          <w:rFonts w:ascii="Times New Roman" w:cs="Times New Roman" w:hAnsi="Times New Roman"/>
          <w:i/>
          <w:iCs/>
          <w:color w:val="000000"/>
          <w:sz w:val="24"/>
          <w:szCs w:val="24"/>
        </w:rPr>
        <w:t>в период с 2020 г. до 2030 гг</w:t>
      </w:r>
      <w:r>
        <w:rPr>
          <w:rFonts w:ascii="Times New Roman" w:cs="Times New Roman" w:hAnsi="Times New Roman"/>
          <w:color w:val="000000"/>
          <w:sz w:val="24"/>
          <w:szCs w:val="24"/>
        </w:rPr>
        <w:t xml:space="preserve">. по планам территориального развития на периоды 2020-2025 г.г., 2025-2030 г.г. с указанием площади и объема жилищного строительства. </w:t>
      </w:r>
    </w:p>
    <w:p>
      <w:pPr>
        <w:pStyle w:val="style1"/>
        <w:ind w:firstLine="709" w:left="0" w:right="0"/>
      </w:pPr>
      <w:bookmarkStart w:id="35" w:name="__RefHeading__3214_1577988068"/>
      <w:bookmarkStart w:id="36" w:name="_Toc445886193"/>
      <w:bookmarkEnd w:id="35"/>
      <w:r>
        <w:rPr>
          <w:rFonts w:ascii="Times New Roman" w:cs="Times New Roman" w:hAnsi="Times New Roman"/>
          <w:bCs w:val="false"/>
          <w:color w:val="00000A"/>
          <w:sz w:val="24"/>
          <w:szCs w:val="24"/>
        </w:rPr>
        <w:t>2.2 Прогноз перспективной застройки</w:t>
      </w:r>
      <w:bookmarkEnd w:id="36"/>
      <w:r>
        <w:rPr>
          <w:rFonts w:ascii="Times New Roman" w:cs="Times New Roman" w:hAnsi="Times New Roman"/>
          <w:bCs w:val="false"/>
          <w:color w:val="00000A"/>
          <w:sz w:val="24"/>
          <w:szCs w:val="24"/>
        </w:rPr>
        <w:t xml:space="preserve">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r>
    </w:p>
    <w:p>
      <w:pPr>
        <w:pStyle w:val="style0"/>
        <w:widowControl w:val="false"/>
        <w:overflowPunct w:val="true"/>
        <w:spacing w:after="0" w:before="0" w:line="220" w:lineRule="auto"/>
        <w:ind w:firstLine="720" w:left="20" w:right="0"/>
        <w:contextualSpacing w:val="false"/>
        <w:jc w:val="both"/>
      </w:pPr>
      <w:r>
        <w:rPr>
          <w:rFonts w:ascii="Times New Roman" w:hAnsi="Times New Roman"/>
          <w:sz w:val="24"/>
          <w:szCs w:val="24"/>
        </w:rPr>
        <w:t xml:space="preserve">Прогноз спроса на тепловую энергию для перспективной застройки территории п. Дубитель </w:t>
      </w:r>
      <w:r>
        <w:rPr>
          <w:rFonts w:ascii="Times New Roman" w:cs="Times New Roman" w:hAnsi="Times New Roman"/>
          <w:color w:val="000000"/>
          <w:sz w:val="24"/>
          <w:szCs w:val="24"/>
        </w:rPr>
        <w:t>Зубово-Полянского</w:t>
      </w:r>
      <w:r>
        <w:rPr>
          <w:rFonts w:ascii="Times New Roman" w:hAnsi="Times New Roman"/>
          <w:sz w:val="24"/>
          <w:szCs w:val="24"/>
        </w:rPr>
        <w:t xml:space="preserve"> муниципального района Республики Мордовия на период до 2030 г. определялся на основе утвержденного генерального плана:</w:t>
      </w:r>
    </w:p>
    <w:p>
      <w:pPr>
        <w:pStyle w:val="style0"/>
        <w:widowControl w:val="false"/>
        <w:overflowPunct w:val="true"/>
        <w:spacing w:after="0" w:before="0" w:line="220" w:lineRule="auto"/>
        <w:ind w:firstLine="720" w:left="20" w:right="0"/>
        <w:contextualSpacing w:val="false"/>
        <w:jc w:val="both"/>
      </w:pPr>
      <w:r>
        <w:rPr>
          <w:rFonts w:ascii="Times New Roman" w:hAnsi="Times New Roman"/>
          <w:sz w:val="24"/>
          <w:szCs w:val="24"/>
        </w:rPr>
      </w:r>
    </w:p>
    <w:p>
      <w:pPr>
        <w:pStyle w:val="style0"/>
        <w:widowControl w:val="false"/>
        <w:spacing w:after="0" w:before="0" w:line="100" w:lineRule="atLeast"/>
        <w:contextualSpacing w:val="false"/>
      </w:pPr>
      <w:r>
        <w:rPr>
          <w:rFonts w:ascii="Times New Roman" w:hAnsi="Times New Roman"/>
          <w:sz w:val="24"/>
          <w:szCs w:val="24"/>
        </w:rPr>
        <w:t>Таблица 2.1 – Жилищный фонд системы централизованного теплоснабжения</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2965"/>
        <w:gridCol w:w="1240"/>
        <w:gridCol w:w="816"/>
        <w:gridCol w:w="817"/>
        <w:gridCol w:w="817"/>
        <w:gridCol w:w="817"/>
        <w:gridCol w:w="817"/>
        <w:gridCol w:w="817"/>
        <w:gridCol w:w="1207"/>
      </w:tblGrid>
      <w:tr>
        <w:trPr>
          <w:cantSplit w:val="false"/>
        </w:trPr>
        <w:tc>
          <w:tcPr>
            <w:tcW w:type="dxa" w:w="296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Наименование</w:t>
            </w:r>
          </w:p>
        </w:tc>
        <w:tc>
          <w:tcPr>
            <w:tcW w:type="dxa" w:w="124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Базовый год 2015 г.</w:t>
            </w:r>
          </w:p>
        </w:tc>
        <w:tc>
          <w:tcPr>
            <w:tcW w:type="dxa" w:w="8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2016 г.</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2017 г.</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2018 г.</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2019 г.</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2020 г.</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2025 г.</w:t>
            </w:r>
          </w:p>
        </w:tc>
        <w:tc>
          <w:tcPr>
            <w:tcW w:type="dxa" w:w="120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Конец периода 2030 г.</w:t>
            </w:r>
          </w:p>
        </w:tc>
      </w:tr>
      <w:tr>
        <w:trPr>
          <w:cantSplit w:val="false"/>
        </w:trPr>
        <w:tc>
          <w:tcPr>
            <w:tcW w:type="dxa" w:w="296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 xml:space="preserve">Жилищный фонд, </w:t>
            </w:r>
            <w:r>
              <w:rPr>
                <w:rFonts w:ascii="Times New Roman" w:hAnsi="Times New Roman"/>
                <w:sz w:val="24"/>
                <w:szCs w:val="24"/>
              </w:rPr>
              <w:t>м</w:t>
            </w:r>
            <w:r>
              <w:rPr>
                <w:rFonts w:ascii="Times New Roman" w:hAnsi="Times New Roman"/>
                <w:sz w:val="20"/>
                <w:szCs w:val="32"/>
                <w:vertAlign w:val="superscript"/>
              </w:rPr>
              <w:t>2</w:t>
            </w:r>
          </w:p>
        </w:tc>
        <w:tc>
          <w:tcPr>
            <w:tcW w:type="dxa" w:w="124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c>
          <w:tcPr>
            <w:tcW w:type="dxa" w:w="8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c>
          <w:tcPr>
            <w:tcW w:type="dxa" w:w="8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c>
          <w:tcPr>
            <w:tcW w:type="dxa" w:w="120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w:t>
            </w:r>
          </w:p>
        </w:tc>
      </w:tr>
    </w:tbl>
    <w:p>
      <w:pPr>
        <w:pStyle w:val="style1"/>
        <w:ind w:firstLine="709" w:left="0" w:right="0"/>
        <w:jc w:val="both"/>
      </w:pPr>
      <w:bookmarkStart w:id="37" w:name="__RefHeading__3216_1577988068"/>
      <w:bookmarkStart w:id="38" w:name="_Toc445886194"/>
      <w:bookmarkEnd w:id="37"/>
      <w:r>
        <w:rPr>
          <w:rFonts w:ascii="Times New Roman" w:hAnsi="Times New Roman"/>
          <w:bCs w:val="false"/>
          <w:color w:val="00000A"/>
          <w:sz w:val="24"/>
          <w:szCs w:val="24"/>
        </w:rPr>
        <w:t>3. Перспективные балансы тепловой мощности источников</w:t>
      </w:r>
      <w:r>
        <w:rPr>
          <w:rFonts w:ascii="Times New Roman" w:hAnsi="Times New Roman"/>
          <w:color w:val="00000A"/>
          <w:sz w:val="24"/>
          <w:szCs w:val="24"/>
        </w:rPr>
        <w:t xml:space="preserve"> </w:t>
      </w:r>
      <w:bookmarkEnd w:id="38"/>
      <w:r>
        <w:rPr>
          <w:rFonts w:ascii="Times New Roman" w:hAnsi="Times New Roman"/>
          <w:bCs w:val="false"/>
          <w:color w:val="00000A"/>
          <w:sz w:val="24"/>
          <w:szCs w:val="24"/>
        </w:rPr>
        <w:t>тепловой энергии и тепловой нагрузки потребителей.</w:t>
      </w:r>
    </w:p>
    <w:p>
      <w:pPr>
        <w:pStyle w:val="style0"/>
        <w:widowControl w:val="false"/>
        <w:spacing w:after="0" w:before="0" w:line="100" w:lineRule="atLeast"/>
        <w:ind w:firstLine="709" w:left="0" w:right="0"/>
        <w:contextualSpacing w:val="false"/>
      </w:pPr>
      <w:r>
        <w:rPr>
          <w:rFonts w:ascii="Times New Roman" w:hAnsi="Times New Roman"/>
          <w:sz w:val="24"/>
          <w:szCs w:val="24"/>
        </w:rPr>
      </w:r>
    </w:p>
    <w:p>
      <w:pPr>
        <w:pStyle w:val="style0"/>
        <w:widowControl w:val="false"/>
        <w:spacing w:after="0" w:before="0" w:line="100" w:lineRule="atLeast"/>
        <w:ind w:firstLine="709" w:left="0" w:right="0"/>
        <w:contextualSpacing w:val="false"/>
      </w:pPr>
      <w:r>
        <w:rPr>
          <w:rFonts w:ascii="Times New Roman" w:hAnsi="Times New Roman"/>
          <w:sz w:val="24"/>
          <w:szCs w:val="24"/>
        </w:rPr>
        <w:t>Резервы тепловой мощности в границах кварталов на основных магистралях рассчитаны с помощью электронной модели схемы теплоснабжения п. Дубитель в Zulu 7.0.</w:t>
      </w:r>
    </w:p>
    <w:p>
      <w:pPr>
        <w:pStyle w:val="style0"/>
        <w:widowControl w:val="false"/>
        <w:spacing w:after="0" w:before="0" w:line="100" w:lineRule="atLeast"/>
        <w:ind w:firstLine="709" w:left="0" w:right="0"/>
        <w:contextualSpacing w:val="false"/>
      </w:pPr>
      <w:r>
        <w:rPr>
          <w:rFonts w:ascii="Times New Roman" w:hAnsi="Times New Roman"/>
          <w:sz w:val="24"/>
          <w:szCs w:val="24"/>
        </w:rPr>
      </w:r>
    </w:p>
    <w:p>
      <w:pPr>
        <w:pStyle w:val="style0"/>
        <w:widowControl w:val="false"/>
        <w:spacing w:after="0" w:before="0" w:line="100" w:lineRule="atLeast"/>
        <w:ind w:firstLine="709" w:left="0" w:right="0"/>
        <w:contextualSpacing w:val="false"/>
      </w:pPr>
      <w:r>
        <w:rPr>
          <w:rFonts w:ascii="Times New Roman" w:hAnsi="Times New Roman"/>
          <w:b/>
          <w:bCs/>
          <w:sz w:val="24"/>
          <w:szCs w:val="24"/>
        </w:rPr>
      </w:r>
    </w:p>
    <w:p>
      <w:pPr>
        <w:pStyle w:val="style1"/>
        <w:spacing w:after="0" w:before="0"/>
        <w:ind w:firstLine="709" w:left="0" w:right="0"/>
        <w:contextualSpacing w:val="false"/>
      </w:pPr>
      <w:bookmarkStart w:id="39" w:name="__RefHeading__3218_1577988068"/>
      <w:bookmarkStart w:id="40" w:name="_Toc445886195"/>
      <w:bookmarkEnd w:id="39"/>
      <w:r>
        <w:rPr>
          <w:rFonts w:ascii="Times New Roman" w:cs="Times New Roman" w:hAnsi="Times New Roman"/>
          <w:bCs w:val="false"/>
          <w:color w:val="00000A"/>
          <w:sz w:val="24"/>
          <w:szCs w:val="24"/>
        </w:rPr>
        <w:t>3.1 Балансы мощности по отдельным теплоисточникам за 2015 год</w:t>
      </w:r>
      <w:bookmarkEnd w:id="40"/>
      <w:r>
        <w:rPr>
          <w:rFonts w:ascii="Times New Roman" w:cs="Times New Roman" w:hAnsi="Times New Roman"/>
          <w:bCs w:val="false"/>
          <w:color w:val="00000A"/>
          <w:sz w:val="24"/>
          <w:szCs w:val="24"/>
        </w:rPr>
        <w:t xml:space="preserve">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r>
    </w:p>
    <w:p>
      <w:pPr>
        <w:pStyle w:val="style0"/>
        <w:widowControl w:val="false"/>
        <w:overflowPunct w:val="true"/>
        <w:spacing w:after="0" w:before="0" w:line="228" w:lineRule="auto"/>
        <w:ind w:firstLine="720" w:left="0" w:right="140"/>
        <w:contextualSpacing w:val="false"/>
        <w:jc w:val="both"/>
      </w:pPr>
      <w:r>
        <w:rPr>
          <w:rFonts w:ascii="Times New Roman" w:hAnsi="Times New Roman"/>
          <w:sz w:val="24"/>
          <w:szCs w:val="24"/>
        </w:rPr>
        <w:t>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 Баланс тепловой мощности источника тепловой энергии и тепловой нагрузки потребителей составлен вариант развития системы теплоснабжения.</w:t>
      </w:r>
    </w:p>
    <w:p>
      <w:pPr>
        <w:pStyle w:val="style0"/>
        <w:widowControl w:val="false"/>
        <w:overflowPunct w:val="true"/>
        <w:spacing w:after="0" w:before="0" w:line="228" w:lineRule="auto"/>
        <w:ind w:firstLine="708" w:left="0" w:right="140"/>
        <w:contextualSpacing w:val="false"/>
        <w:jc w:val="both"/>
      </w:pPr>
      <w:r>
        <w:rPr>
          <w:rFonts w:ascii="Times New Roman" w:hAnsi="Times New Roman"/>
          <w:sz w:val="24"/>
          <w:szCs w:val="24"/>
        </w:rPr>
        <w:t>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 сложившихся (установленных по утвержденным картам гидравлических режимов тепловых сетей).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 Данные балансы, а также установленная зона действия источника тепловой энергии, были определены перспективные тепловые нагрузки в соответствии с данными, представлены в первом разделе «Существующее положение в сфере производства, передачи и потребления тепловой энергии для целей теплоснабжения</w:t>
      </w:r>
    </w:p>
    <w:p>
      <w:pPr>
        <w:pStyle w:val="style1"/>
        <w:ind w:firstLine="709" w:left="0" w:right="0"/>
        <w:jc w:val="both"/>
      </w:pPr>
      <w:bookmarkStart w:id="41" w:name="__RefHeading__3220_1577988068"/>
      <w:bookmarkStart w:id="42" w:name="_Toc445886196"/>
      <w:bookmarkEnd w:id="41"/>
      <w:bookmarkEnd w:id="42"/>
      <w:r>
        <w:rPr>
          <w:rFonts w:ascii="Times New Roman" w:hAnsi="Times New Roman"/>
          <w:bCs w:val="false"/>
          <w:color w:val="00000A"/>
          <w:sz w:val="24"/>
          <w:szCs w:val="24"/>
        </w:rPr>
        <w:t>3.2. Баланс располагаемой тепловой мощности и присоединенной тепловой нагрузки на перспективу до 2030 г. с выделением этапов в 2015-2020г.г., 2020-2025г.г., 2025-2030г.г., при развитии систем теплоснабжения.</w:t>
      </w:r>
    </w:p>
    <w:p>
      <w:pPr>
        <w:pStyle w:val="style0"/>
        <w:widowControl w:val="false"/>
        <w:spacing w:after="0" w:before="0" w:line="3" w:lineRule="exact"/>
        <w:contextualSpacing w:val="false"/>
      </w:pPr>
      <w:r>
        <w:rPr>
          <w:rFonts w:ascii="Times New Roman" w:hAnsi="Times New Roman"/>
          <w:sz w:val="24"/>
          <w:szCs w:val="24"/>
        </w:rPr>
      </w:r>
    </w:p>
    <w:p>
      <w:pPr>
        <w:pStyle w:val="style1"/>
        <w:spacing w:after="0" w:before="120"/>
        <w:ind w:firstLine="709" w:left="0" w:right="0"/>
        <w:contextualSpacing w:val="false"/>
      </w:pPr>
      <w:bookmarkStart w:id="43" w:name="__RefHeading__3222_1577988068"/>
      <w:bookmarkStart w:id="44" w:name="_Toc445886197"/>
      <w:bookmarkEnd w:id="43"/>
      <w:bookmarkEnd w:id="44"/>
      <w:r>
        <w:rPr>
          <w:rFonts w:ascii="Times New Roman" w:hAnsi="Times New Roman"/>
          <w:bCs w:val="false"/>
          <w:color w:val="00000A"/>
          <w:sz w:val="24"/>
          <w:szCs w:val="24"/>
        </w:rPr>
        <w:t>3.2.1 Баланс располагаемой тепловой мощности по состоянию на 2020 г.</w:t>
      </w:r>
    </w:p>
    <w:p>
      <w:pPr>
        <w:pStyle w:val="style0"/>
        <w:widowControl w:val="false"/>
        <w:spacing w:after="0" w:before="0" w:line="329" w:lineRule="exact"/>
        <w:contextualSpacing w:val="false"/>
      </w:pPr>
      <w:r>
        <w:rPr>
          <w:rFonts w:ascii="Times New Roman" w:hAnsi="Times New Roman"/>
          <w:sz w:val="24"/>
          <w:szCs w:val="24"/>
        </w:rPr>
      </w:r>
    </w:p>
    <w:p>
      <w:pPr>
        <w:pStyle w:val="style0"/>
        <w:widowControl w:val="false"/>
        <w:overflowPunct w:val="true"/>
        <w:spacing w:after="0" w:before="0" w:line="225" w:lineRule="auto"/>
        <w:ind w:firstLine="708" w:left="0" w:right="-1"/>
        <w:contextualSpacing w:val="false"/>
        <w:jc w:val="both"/>
      </w:pPr>
      <w:r>
        <w:rPr>
          <w:rFonts w:ascii="Times New Roman" w:hAnsi="Times New Roman"/>
          <w:sz w:val="24"/>
          <w:szCs w:val="24"/>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возможна установка новой блочно-модульной котельной. </w:t>
      </w:r>
    </w:p>
    <w:p>
      <w:pPr>
        <w:pStyle w:val="style0"/>
        <w:widowControl w:val="false"/>
        <w:spacing w:after="0" w:before="0" w:line="100" w:lineRule="atLeast"/>
        <w:ind w:firstLine="709" w:left="0" w:right="0"/>
        <w:contextualSpacing w:val="false"/>
        <w:jc w:val="both"/>
      </w:pPr>
      <w:r>
        <w:rPr>
          <w:rFonts w:ascii="Times New Roman" w:hAnsi="Times New Roman"/>
          <w:sz w:val="24"/>
          <w:szCs w:val="24"/>
        </w:rPr>
        <w:t>Прогнозируемые приросты тепловых нагрузок за период с 2015 г. по 2020 г. включительно в зоне действия котельной, задействовано в схеме теплоснабжения по рассматриваемому варианту приведены в таблице 3.1.</w:t>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t>Таблица 3.1. – Прогнозируемые к 2020 г. приросты тепловых нагрузок в зонах действия энергоисточников при развитии систем теплоснабжения, (Гкал/ч)</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3"/>
          <w:bottom w:type="dxa" w:w="0"/>
          <w:right w:type="dxa" w:w="108"/>
        </w:tblCellMar>
      </w:tblPr>
      <w:tblGrid>
        <w:gridCol w:w="2235"/>
        <w:gridCol w:w="1361"/>
        <w:gridCol w:w="1362"/>
        <w:gridCol w:w="1361"/>
        <w:gridCol w:w="1362"/>
        <w:gridCol w:w="1361"/>
        <w:gridCol w:w="1358"/>
      </w:tblGrid>
      <w:tr>
        <w:trPr>
          <w:cantSplit w:val="false"/>
        </w:trPr>
        <w:tc>
          <w:tcPr>
            <w:tcW w:type="dxa" w:w="2235"/>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Источник</w:t>
            </w:r>
          </w:p>
        </w:tc>
        <w:tc>
          <w:tcPr>
            <w:tcW w:type="dxa" w:w="136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Располагаемая мощность</w:t>
            </w:r>
            <w:r>
              <w:rPr>
                <w:rFonts w:ascii="Times New Roman" w:hAnsi="Times New Roman"/>
                <w:sz w:val="20"/>
                <w:szCs w:val="20"/>
              </w:rPr>
              <w:t xml:space="preserve"> на 2015 г.</w:t>
            </w:r>
          </w:p>
        </w:tc>
        <w:tc>
          <w:tcPr>
            <w:tcW w:type="dxa" w:w="1362"/>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Тепловая нагрузка, Гкал/ч на 2016 г.</w:t>
            </w:r>
          </w:p>
        </w:tc>
        <w:tc>
          <w:tcPr>
            <w:tcW w:type="dxa" w:w="136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Тепловая нагрузка, Гкал/ч на 2017 г.</w:t>
            </w:r>
          </w:p>
        </w:tc>
        <w:tc>
          <w:tcPr>
            <w:tcW w:type="dxa" w:w="1362"/>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Тепловая нагрузка, Гкал/ч на 2018 г.</w:t>
            </w:r>
          </w:p>
        </w:tc>
        <w:tc>
          <w:tcPr>
            <w:tcW w:type="dxa" w:w="136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Тепловая нагрузка, Гкал/ч на 2019 г.</w:t>
            </w:r>
          </w:p>
        </w:tc>
        <w:tc>
          <w:tcPr>
            <w:tcW w:type="dxa" w:w="1358"/>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Тепловая нагрузка, Гкал/ч на 2020 г.</w:t>
            </w:r>
          </w:p>
        </w:tc>
      </w:tr>
      <w:tr>
        <w:trPr>
          <w:cantSplit w:val="false"/>
        </w:trPr>
        <w:tc>
          <w:tcPr>
            <w:tcW w:type="dxa" w:w="2235"/>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Котельная</w:t>
            </w:r>
          </w:p>
        </w:tc>
        <w:tc>
          <w:tcPr>
            <w:tcW w:type="dxa" w:w="136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0,43</w:t>
            </w:r>
          </w:p>
        </w:tc>
        <w:tc>
          <w:tcPr>
            <w:tcW w:type="dxa" w:w="1362"/>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0"/>
              </w:rPr>
              <w:t>0,424</w:t>
            </w:r>
          </w:p>
        </w:tc>
        <w:tc>
          <w:tcPr>
            <w:tcW w:type="dxa" w:w="136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contextualSpacing w:val="false"/>
              <w:jc w:val="center"/>
            </w:pPr>
            <w:r>
              <w:rPr>
                <w:rFonts w:ascii="Times New Roman" w:hAnsi="Times New Roman"/>
                <w:sz w:val="20"/>
                <w:szCs w:val="20"/>
              </w:rPr>
              <w:t>0,424</w:t>
            </w:r>
          </w:p>
        </w:tc>
        <w:tc>
          <w:tcPr>
            <w:tcW w:type="dxa" w:w="1362"/>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contextualSpacing w:val="false"/>
              <w:jc w:val="center"/>
            </w:pPr>
            <w:r>
              <w:rPr>
                <w:rFonts w:ascii="Times New Roman" w:hAnsi="Times New Roman"/>
                <w:sz w:val="20"/>
                <w:szCs w:val="20"/>
              </w:rPr>
              <w:t>0,424</w:t>
            </w:r>
          </w:p>
        </w:tc>
        <w:tc>
          <w:tcPr>
            <w:tcW w:type="dxa" w:w="136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contextualSpacing w:val="false"/>
              <w:jc w:val="center"/>
            </w:pPr>
            <w:r>
              <w:rPr>
                <w:rFonts w:ascii="Times New Roman" w:hAnsi="Times New Roman"/>
                <w:sz w:val="20"/>
                <w:szCs w:val="20"/>
              </w:rPr>
              <w:t>0,424</w:t>
            </w:r>
          </w:p>
        </w:tc>
        <w:tc>
          <w:tcPr>
            <w:tcW w:type="dxa" w:w="1358"/>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contextualSpacing w:val="false"/>
              <w:jc w:val="center"/>
            </w:pPr>
            <w:r>
              <w:rPr>
                <w:rFonts w:ascii="Times New Roman" w:hAnsi="Times New Roman"/>
                <w:sz w:val="20"/>
                <w:szCs w:val="20"/>
              </w:rPr>
              <w:t>0,424</w:t>
            </w:r>
          </w:p>
        </w:tc>
      </w:tr>
    </w:tbl>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t>Из таблицы 3.1. следует, что за пять лет с 2015 по 2020 г. не ожидается прирост тепловой нагрузки. Балансы располагаемой тепловой мощности и присоединенной тепловой нагрузки по состоянию на 2020 г. представлены в табл. 3.2.</w:t>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t>Таблица 3.2. – Балансы располагаемой тепловой мощности и присоединенной тепловой нагрузки на 2020 г. при развитии систем теплоснабжения (Гкал/ч)</w:t>
      </w:r>
    </w:p>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r>
    </w:p>
    <w:tbl>
      <w:tblPr>
        <w:jc w:val="left"/>
        <w:tblInd w:type="dxa" w:w="0"/>
        <w:tblBorders>
          <w:top w:color="00000A" w:space="0" w:sz="8" w:val="single"/>
          <w:left w:color="00000A" w:space="0" w:sz="8" w:val="single"/>
          <w:bottom w:color="00000A" w:space="0" w:sz="4" w:val="single"/>
          <w:insideH w:color="00000A" w:space="0" w:sz="4" w:val="single"/>
          <w:right w:color="00000A" w:space="0" w:sz="8" w:val="single"/>
          <w:insideV w:color="00000A" w:space="0" w:sz="8" w:val="single"/>
        </w:tblBorders>
        <w:tblCellMar>
          <w:top w:type="dxa" w:w="0"/>
          <w:left w:type="dxa" w:w="103"/>
          <w:bottom w:type="dxa" w:w="0"/>
          <w:right w:type="dxa" w:w="108"/>
        </w:tblCellMar>
      </w:tblPr>
      <w:tblGrid>
        <w:gridCol w:w="1686"/>
        <w:gridCol w:w="1576"/>
        <w:gridCol w:w="2895"/>
        <w:gridCol w:w="1432"/>
        <w:gridCol w:w="1434"/>
        <w:gridCol w:w="1373"/>
      </w:tblGrid>
      <w:tr>
        <w:trPr>
          <w:trHeight w:hRule="atLeast" w:val="545"/>
          <w:cantSplit w:val="false"/>
        </w:trPr>
        <w:tc>
          <w:tcPr>
            <w:tcW w:type="dxa" w:w="1686"/>
            <w:vMerge w:val="restart"/>
            <w:tcBorders>
              <w:top w:color="00000A" w:space="0" w:sz="8" w:val="single"/>
              <w:left w:color="00000A" w:space="0" w:sz="8" w:val="single"/>
              <w:bottom w:color="00000A" w:space="0" w:sz="4"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Источник</w:t>
            </w:r>
          </w:p>
        </w:tc>
        <w:tc>
          <w:tcPr>
            <w:tcW w:type="dxa" w:w="1576"/>
            <w:vMerge w:val="restart"/>
            <w:tcBorders>
              <w:top w:color="00000A" w:space="0" w:sz="8" w:val="single"/>
              <w:left w:color="00000A" w:space="0" w:sz="8" w:val="single"/>
              <w:bottom w:color="00000A" w:space="0" w:sz="4"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Располагаемая мощность на 2015 г.</w:t>
            </w:r>
          </w:p>
        </w:tc>
        <w:tc>
          <w:tcPr>
            <w:tcW w:type="dxa" w:w="2895"/>
            <w:gridSpan w:val="5"/>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Расчетная тепловая нагрузка, Гкал/ч</w:t>
            </w:r>
          </w:p>
        </w:tc>
        <w:tc>
          <w:tcPr>
            <w:tcW w:type="dxa" w:w="1432"/>
            <w:vMerge w:val="restart"/>
            <w:tcBorders>
              <w:top w:color="00000A" w:space="0" w:sz="8" w:val="single"/>
              <w:left w:color="00000A" w:space="0" w:sz="8" w:val="single"/>
              <w:bottom w:color="00000A" w:space="0" w:sz="4"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Собственные нужды источника, Гкал/ч</w:t>
            </w:r>
          </w:p>
        </w:tc>
        <w:tc>
          <w:tcPr>
            <w:tcW w:type="dxa" w:w="1434"/>
            <w:vMerge w:val="restart"/>
            <w:tcBorders>
              <w:top w:color="00000A" w:space="0" w:sz="8" w:val="single"/>
              <w:left w:color="00000A" w:space="0" w:sz="8" w:val="single"/>
              <w:bottom w:color="00000A" w:space="0" w:sz="4"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Потери в тепловых сетях наиболее холодного месяца, Гкал/ч</w:t>
            </w:r>
          </w:p>
        </w:tc>
        <w:tc>
          <w:tcPr>
            <w:tcW w:type="dxa" w:w="1373"/>
            <w:vMerge w:val="restart"/>
            <w:tcBorders>
              <w:top w:color="00000A" w:space="0" w:sz="8" w:val="single"/>
              <w:left w:color="00000A" w:space="0" w:sz="8" w:val="single"/>
              <w:bottom w:color="00000A" w:space="0" w:sz="4"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Резерв (+)</w:t>
            </w:r>
          </w:p>
          <w:p>
            <w:pPr>
              <w:pStyle w:val="style0"/>
              <w:widowControl w:val="false"/>
              <w:spacing w:after="0" w:before="0" w:line="100" w:lineRule="atLeast"/>
              <w:contextualSpacing w:val="false"/>
              <w:jc w:val="center"/>
            </w:pPr>
            <w:r>
              <w:rPr>
                <w:rFonts w:ascii="Times New Roman" w:hAnsi="Times New Roman"/>
                <w:sz w:val="20"/>
                <w:szCs w:val="24"/>
              </w:rPr>
              <w:t>Дефицит (-)</w:t>
            </w:r>
          </w:p>
        </w:tc>
      </w:tr>
      <w:tr>
        <w:trPr>
          <w:trHeight w:hRule="atLeast" w:val="1134"/>
          <w:cantSplit w:val="true"/>
        </w:trPr>
        <w:tc>
          <w:tcPr>
            <w:tcW w:type="dxa" w:w="1686"/>
            <w:vMerge w:val="continue"/>
            <w:tcBorders>
              <w:top w:color="00000A" w:space="0" w:sz="4"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r>
          </w:p>
        </w:tc>
        <w:tc>
          <w:tcPr>
            <w:tcW w:type="dxa" w:w="1576"/>
            <w:vMerge w:val="continue"/>
            <w:tcBorders>
              <w:top w:color="00000A" w:space="0" w:sz="4"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r>
          </w:p>
        </w:tc>
        <w:tc>
          <w:tcPr>
            <w:tcW w:type="dxa" w:w="580"/>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ind w:hanging="0" w:left="113" w:right="113"/>
              <w:contextualSpacing w:val="false"/>
              <w:jc w:val="center"/>
            </w:pPr>
            <w:r>
              <w:rPr>
                <w:rFonts w:ascii="Times New Roman" w:hAnsi="Times New Roman"/>
                <w:sz w:val="20"/>
                <w:szCs w:val="24"/>
                <w:eastAsianLayout w:vert="true"/>
              </w:rPr>
              <w:t>2016 г.</w:t>
            </w:r>
          </w:p>
        </w:tc>
        <w:tc>
          <w:tcPr>
            <w:tcW w:type="dxa" w:w="580"/>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ind w:hanging="0" w:left="113" w:right="113"/>
              <w:contextualSpacing w:val="false"/>
              <w:jc w:val="center"/>
            </w:pPr>
            <w:r>
              <w:rPr>
                <w:rFonts w:ascii="Times New Roman" w:hAnsi="Times New Roman"/>
                <w:sz w:val="20"/>
                <w:szCs w:val="24"/>
                <w:eastAsianLayout w:vert="true"/>
              </w:rPr>
              <w:t>2017 г.</w:t>
            </w:r>
          </w:p>
        </w:tc>
        <w:tc>
          <w:tcPr>
            <w:tcW w:type="dxa" w:w="58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ind w:hanging="0" w:left="113" w:right="113"/>
              <w:contextualSpacing w:val="false"/>
              <w:jc w:val="center"/>
            </w:pPr>
            <w:r>
              <w:rPr>
                <w:rFonts w:ascii="Times New Roman" w:hAnsi="Times New Roman"/>
                <w:sz w:val="20"/>
                <w:szCs w:val="24"/>
                <w:eastAsianLayout w:vert="true"/>
              </w:rPr>
              <w:t>2018 г.</w:t>
            </w:r>
          </w:p>
        </w:tc>
        <w:tc>
          <w:tcPr>
            <w:tcW w:type="dxa" w:w="580"/>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ind w:hanging="0" w:left="113" w:right="113"/>
              <w:contextualSpacing w:val="false"/>
              <w:jc w:val="center"/>
            </w:pPr>
            <w:r>
              <w:rPr>
                <w:rFonts w:ascii="Times New Roman" w:hAnsi="Times New Roman"/>
                <w:sz w:val="20"/>
                <w:szCs w:val="24"/>
                <w:eastAsianLayout w:vert="true"/>
              </w:rPr>
              <w:t>2019 г.</w:t>
            </w:r>
          </w:p>
        </w:tc>
        <w:tc>
          <w:tcPr>
            <w:tcW w:type="dxa" w:w="575"/>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ind w:hanging="0" w:left="113" w:right="113"/>
              <w:contextualSpacing w:val="false"/>
              <w:jc w:val="center"/>
            </w:pPr>
            <w:r>
              <w:rPr>
                <w:rFonts w:ascii="Times New Roman" w:hAnsi="Times New Roman"/>
                <w:sz w:val="20"/>
                <w:szCs w:val="24"/>
                <w:eastAsianLayout w:vert="true"/>
              </w:rPr>
              <w:t>2020 г.</w:t>
            </w:r>
          </w:p>
        </w:tc>
        <w:tc>
          <w:tcPr>
            <w:tcW w:type="dxa" w:w="1432"/>
            <w:vMerge w:val="continue"/>
            <w:tcBorders>
              <w:top w:color="00000A" w:space="0" w:sz="4"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r>
          </w:p>
        </w:tc>
        <w:tc>
          <w:tcPr>
            <w:tcW w:type="dxa" w:w="1434"/>
            <w:vMerge w:val="continue"/>
            <w:tcBorders>
              <w:top w:color="00000A" w:space="0" w:sz="4"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r>
          </w:p>
        </w:tc>
        <w:tc>
          <w:tcPr>
            <w:tcW w:type="dxa" w:w="1372"/>
            <w:vMerge w:val="continue"/>
            <w:tcBorders>
              <w:top w:color="00000A" w:space="0" w:sz="4"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r>
          </w:p>
        </w:tc>
      </w:tr>
      <w:tr>
        <w:trPr>
          <w:trHeight w:hRule="atLeast" w:val="1134"/>
          <w:cantSplit w:val="true"/>
        </w:trPr>
        <w:tc>
          <w:tcPr>
            <w:tcW w:type="dxa" w:w="1686"/>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Котельная</w:t>
            </w:r>
          </w:p>
        </w:tc>
        <w:tc>
          <w:tcPr>
            <w:tcW w:type="dxa" w:w="1576"/>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0,43</w:t>
            </w:r>
          </w:p>
        </w:tc>
        <w:tc>
          <w:tcPr>
            <w:tcW w:type="dxa" w:w="580"/>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ind w:hanging="0" w:left="113" w:right="113"/>
              <w:contextualSpacing w:val="false"/>
              <w:jc w:val="center"/>
            </w:pPr>
            <w:r>
              <w:rPr>
                <w:rFonts w:ascii="Times New Roman" w:hAnsi="Times New Roman"/>
                <w:sz w:val="20"/>
                <w:szCs w:val="20"/>
                <w:eastAsianLayout w:vert="true"/>
              </w:rPr>
              <w:t>0,424</w:t>
            </w:r>
          </w:p>
        </w:tc>
        <w:tc>
          <w:tcPr>
            <w:tcW w:type="dxa" w:w="580"/>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ind w:hanging="0" w:left="113" w:right="113"/>
              <w:contextualSpacing w:val="false"/>
              <w:jc w:val="center"/>
            </w:pPr>
            <w:r>
              <w:rPr>
                <w:rFonts w:ascii="Times New Roman" w:hAnsi="Times New Roman"/>
                <w:sz w:val="20"/>
                <w:szCs w:val="20"/>
                <w:eastAsianLayout w:vert="true"/>
              </w:rPr>
              <w:t>0,424</w:t>
            </w:r>
          </w:p>
        </w:tc>
        <w:tc>
          <w:tcPr>
            <w:tcW w:type="dxa" w:w="581"/>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ind w:hanging="0" w:left="113" w:right="113"/>
              <w:contextualSpacing w:val="false"/>
              <w:jc w:val="center"/>
            </w:pPr>
            <w:r>
              <w:rPr>
                <w:rFonts w:ascii="Times New Roman" w:hAnsi="Times New Roman"/>
                <w:sz w:val="20"/>
                <w:szCs w:val="20"/>
                <w:eastAsianLayout w:vert="true"/>
              </w:rPr>
              <w:t>0,424</w:t>
            </w:r>
          </w:p>
        </w:tc>
        <w:tc>
          <w:tcPr>
            <w:tcW w:type="dxa" w:w="580"/>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ind w:hanging="0" w:left="113" w:right="113"/>
              <w:contextualSpacing w:val="false"/>
              <w:jc w:val="center"/>
            </w:pPr>
            <w:r>
              <w:rPr>
                <w:rFonts w:ascii="Times New Roman" w:hAnsi="Times New Roman"/>
                <w:sz w:val="20"/>
                <w:szCs w:val="20"/>
                <w:eastAsianLayout w:vert="true"/>
              </w:rPr>
              <w:t>0,424</w:t>
            </w:r>
          </w:p>
        </w:tc>
        <w:tc>
          <w:tcPr>
            <w:tcW w:type="dxa" w:w="575"/>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spacing w:after="0" w:before="0" w:line="100" w:lineRule="atLeast"/>
              <w:ind w:hanging="0" w:left="113" w:right="113"/>
              <w:contextualSpacing w:val="false"/>
              <w:jc w:val="center"/>
            </w:pPr>
            <w:r>
              <w:rPr>
                <w:rFonts w:ascii="Times New Roman" w:hAnsi="Times New Roman"/>
                <w:sz w:val="20"/>
                <w:szCs w:val="20"/>
                <w:eastAsianLayout w:vert="true"/>
              </w:rPr>
              <w:t>0,424</w:t>
            </w:r>
          </w:p>
        </w:tc>
        <w:tc>
          <w:tcPr>
            <w:tcW w:type="dxa" w:w="1432"/>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0,017</w:t>
            </w:r>
          </w:p>
        </w:tc>
        <w:tc>
          <w:tcPr>
            <w:tcW w:type="dxa" w:w="1434"/>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0,029</w:t>
            </w:r>
          </w:p>
        </w:tc>
        <w:tc>
          <w:tcPr>
            <w:tcW w:type="dxa" w:w="1372"/>
            <w:tcBorders>
              <w:top w:color="00000A" w:space="0" w:sz="8" w:val="single"/>
              <w:left w:color="00000A" w:space="0" w:sz="8" w:val="single"/>
              <w:bottom w:color="00000A" w:space="0" w:sz="8" w:val="single"/>
              <w:right w:color="00000A" w:space="0" w:sz="8" w:val="single"/>
            </w:tcBorders>
            <w:shd w:fill="auto" w:val="clear"/>
            <w:tcMar>
              <w:left w:type="dxa" w:w="103"/>
            </w:tcMar>
            <w:vAlign w:val="center"/>
          </w:tcPr>
          <w:p>
            <w:pPr>
              <w:pStyle w:val="style0"/>
              <w:widowControl w:val="false"/>
              <w:spacing w:after="0" w:before="0" w:line="100" w:lineRule="atLeast"/>
              <w:contextualSpacing w:val="false"/>
              <w:jc w:val="center"/>
            </w:pPr>
            <w:r>
              <w:rPr>
                <w:rFonts w:ascii="Times New Roman" w:hAnsi="Times New Roman"/>
                <w:sz w:val="20"/>
                <w:szCs w:val="24"/>
              </w:rPr>
              <w:t>-0,04</w:t>
            </w:r>
          </w:p>
        </w:tc>
      </w:tr>
    </w:tbl>
    <w:p>
      <w:pPr>
        <w:pStyle w:val="style0"/>
        <w:widowControl w:val="false"/>
        <w:spacing w:after="0" w:before="0" w:line="100" w:lineRule="atLeast"/>
        <w:ind w:firstLine="709" w:left="0" w:right="0"/>
        <w:contextualSpacing w:val="false"/>
      </w:pPr>
      <w:r>
        <w:rPr>
          <w:rFonts w:ascii="Times New Roman" w:hAnsi="Times New Roman"/>
          <w:sz w:val="24"/>
          <w:szCs w:val="24"/>
        </w:rPr>
      </w:r>
    </w:p>
    <w:p>
      <w:pPr>
        <w:pStyle w:val="style0"/>
        <w:widowControl w:val="false"/>
        <w:spacing w:after="0" w:before="0" w:line="100" w:lineRule="atLeast"/>
        <w:ind w:firstLine="709" w:left="0" w:right="0"/>
        <w:contextualSpacing w:val="false"/>
        <w:jc w:val="both"/>
      </w:pPr>
      <w:r>
        <w:rPr>
          <w:rFonts w:ascii="Times New Roman" w:hAnsi="Times New Roman"/>
          <w:sz w:val="24"/>
          <w:szCs w:val="24"/>
        </w:rPr>
        <w:t xml:space="preserve">Анализ таблицы 3.2 показывает, что к 2020 г. суммарная расчетная присоединенная тепловая нагрузка по источнику теплоснабжения </w:t>
      </w:r>
      <w:r>
        <w:rPr>
          <w:rFonts w:ascii="Times New Roman" w:hAnsi="Times New Roman"/>
          <w:sz w:val="24"/>
          <w:szCs w:val="23"/>
        </w:rPr>
        <w:t>остается без изменения.</w:t>
      </w:r>
    </w:p>
    <w:p>
      <w:pPr>
        <w:pStyle w:val="style1"/>
        <w:ind w:firstLine="709" w:left="0" w:right="0"/>
      </w:pPr>
      <w:bookmarkStart w:id="45" w:name="__RefHeading__3224_1577988068"/>
      <w:bookmarkStart w:id="46" w:name="_Toc445886198"/>
      <w:bookmarkEnd w:id="45"/>
      <w:bookmarkEnd w:id="46"/>
      <w:r>
        <w:rPr>
          <w:rFonts w:ascii="Times New Roman" w:hAnsi="Times New Roman"/>
          <w:bCs w:val="false"/>
          <w:color w:val="00000A"/>
          <w:sz w:val="24"/>
          <w:szCs w:val="24"/>
        </w:rPr>
        <w:t>3.2.2. Баланс располагаемой тепловой мощности по состоянию на 2020-2025 г.г.</w:t>
      </w:r>
    </w:p>
    <w:p>
      <w:pPr>
        <w:pStyle w:val="style0"/>
        <w:widowControl w:val="false"/>
        <w:spacing w:after="0" w:before="0" w:line="329" w:lineRule="exact"/>
        <w:contextualSpacing w:val="false"/>
      </w:pPr>
      <w:r>
        <w:rPr>
          <w:rFonts w:ascii="Times New Roman" w:hAnsi="Times New Roman"/>
          <w:sz w:val="24"/>
          <w:szCs w:val="24"/>
        </w:rPr>
      </w:r>
    </w:p>
    <w:p>
      <w:pPr>
        <w:pStyle w:val="style0"/>
        <w:widowControl w:val="false"/>
        <w:overflowPunct w:val="true"/>
        <w:spacing w:after="0" w:before="0" w:line="225" w:lineRule="auto"/>
        <w:ind w:firstLine="708" w:left="0" w:right="-1"/>
        <w:contextualSpacing w:val="false"/>
        <w:jc w:val="both"/>
      </w:pPr>
      <w:r>
        <w:rPr>
          <w:rFonts w:ascii="Times New Roman" w:hAnsi="Times New Roman"/>
          <w:sz w:val="24"/>
          <w:szCs w:val="24"/>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pPr>
        <w:pStyle w:val="style0"/>
        <w:widowControl w:val="false"/>
        <w:spacing w:after="0" w:before="0" w:line="100" w:lineRule="atLeast"/>
        <w:ind w:firstLine="709" w:left="0" w:right="0"/>
        <w:contextualSpacing w:val="false"/>
        <w:jc w:val="both"/>
      </w:pPr>
      <w:r>
        <w:rPr>
          <w:rFonts w:ascii="Times New Roman" w:hAnsi="Times New Roman"/>
          <w:sz w:val="24"/>
          <w:szCs w:val="24"/>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варианту приведены в таблице 3.3.</w:t>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t>Таблица 3.3. – Прогнозируемые к 2025 г. приросты тепловых нагрузок в зонах действия энергоисточников при развитии систем теплоснабжения, (Гкал/ч)</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4927"/>
        <w:gridCol w:w="2674"/>
        <w:gridCol w:w="2536"/>
      </w:tblGrid>
      <w:tr>
        <w:trPr>
          <w:cantSplit w:val="false"/>
        </w:trPr>
        <w:tc>
          <w:tcPr>
            <w:tcW w:type="dxa" w:w="492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Источник</w:t>
            </w:r>
          </w:p>
        </w:tc>
        <w:tc>
          <w:tcPr>
            <w:tcW w:type="dxa" w:w="267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Располагаемая мощность</w:t>
            </w:r>
            <w:r>
              <w:rPr>
                <w:rFonts w:ascii="Times New Roman" w:hAnsi="Times New Roman"/>
                <w:sz w:val="20"/>
                <w:szCs w:val="20"/>
              </w:rPr>
              <w:t xml:space="preserve"> на 2025 г.</w:t>
            </w:r>
          </w:p>
        </w:tc>
        <w:tc>
          <w:tcPr>
            <w:tcW w:type="dxa" w:w="253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Тепловая нагрузка, Гкал/ч на 2025 г.</w:t>
            </w:r>
          </w:p>
        </w:tc>
      </w:tr>
      <w:tr>
        <w:trPr>
          <w:cantSplit w:val="false"/>
        </w:trPr>
        <w:tc>
          <w:tcPr>
            <w:tcW w:type="dxa" w:w="492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Котельная</w:t>
            </w:r>
          </w:p>
        </w:tc>
        <w:tc>
          <w:tcPr>
            <w:tcW w:type="dxa" w:w="267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0,515</w:t>
            </w:r>
          </w:p>
        </w:tc>
        <w:tc>
          <w:tcPr>
            <w:tcW w:type="dxa" w:w="253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0,424</w:t>
            </w:r>
          </w:p>
        </w:tc>
      </w:tr>
    </w:tbl>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t>Из таблицы 3.3. следует, что прирост тепловой нагрузки не ожидается. Балансы располагаемой тепловой мощности и присоединенной тепловой нагрузки по состоянию на 2025 г. представлены в табл. 3.4.</w:t>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t>Таблица 3.4. – Балансы располагаемой тепловой мощности и присоединенной тепловой нагрузки на 2025 г. при развитии систем теплоснабжения (Гкал/ч)</w:t>
      </w:r>
    </w:p>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2883"/>
        <w:gridCol w:w="1468"/>
        <w:gridCol w:w="1447"/>
        <w:gridCol w:w="1446"/>
        <w:gridCol w:w="1447"/>
        <w:gridCol w:w="1445"/>
      </w:tblGrid>
      <w:tr>
        <w:trPr>
          <w:cantSplit w:val="false"/>
        </w:trPr>
        <w:tc>
          <w:tcPr>
            <w:tcW w:type="dxa" w:w="288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Источник</w:t>
            </w:r>
          </w:p>
        </w:tc>
        <w:tc>
          <w:tcPr>
            <w:tcW w:type="dxa" w:w="14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Располагаемая мощность на 2025 г.</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Расчетная тепловая нагрузка на 2025 г., Гкал/ч</w:t>
            </w:r>
          </w:p>
        </w:tc>
        <w:tc>
          <w:tcPr>
            <w:tcW w:type="dxa" w:w="144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Собственные нужды источника, Гкал/ч</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Потери в тепловых сетях наиболее холодного месяца, Гкал/ч</w:t>
            </w:r>
          </w:p>
        </w:tc>
        <w:tc>
          <w:tcPr>
            <w:tcW w:type="dxa" w:w="144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Резерв (+)</w:t>
            </w:r>
          </w:p>
          <w:p>
            <w:pPr>
              <w:pStyle w:val="style0"/>
              <w:widowControl w:val="false"/>
              <w:spacing w:after="0" w:before="0" w:line="100" w:lineRule="atLeast"/>
              <w:contextualSpacing w:val="false"/>
              <w:jc w:val="center"/>
            </w:pPr>
            <w:r>
              <w:rPr>
                <w:rFonts w:ascii="Times New Roman" w:hAnsi="Times New Roman"/>
                <w:sz w:val="20"/>
                <w:szCs w:val="24"/>
              </w:rPr>
              <w:t>Дефицит (-)</w:t>
            </w:r>
          </w:p>
        </w:tc>
      </w:tr>
      <w:tr>
        <w:trPr>
          <w:cantSplit w:val="false"/>
        </w:trPr>
        <w:tc>
          <w:tcPr>
            <w:tcW w:type="dxa" w:w="288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Котельная</w:t>
            </w:r>
          </w:p>
        </w:tc>
        <w:tc>
          <w:tcPr>
            <w:tcW w:type="dxa" w:w="14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0,515</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0,424</w:t>
            </w:r>
          </w:p>
        </w:tc>
        <w:tc>
          <w:tcPr>
            <w:tcW w:type="dxa" w:w="144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0,017</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0,029</w:t>
            </w:r>
          </w:p>
        </w:tc>
        <w:tc>
          <w:tcPr>
            <w:tcW w:type="dxa" w:w="144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0,046</w:t>
            </w:r>
          </w:p>
        </w:tc>
      </w:tr>
    </w:tbl>
    <w:p>
      <w:pPr>
        <w:pStyle w:val="style0"/>
        <w:widowControl w:val="false"/>
        <w:overflowPunct w:val="true"/>
        <w:spacing w:after="0" w:before="0" w:line="228" w:lineRule="auto"/>
        <w:ind w:firstLine="720" w:left="0" w:right="140"/>
        <w:contextualSpacing w:val="false"/>
        <w:jc w:val="both"/>
      </w:pPr>
      <w:r>
        <w:rPr>
          <w:rFonts w:ascii="Times New Roman" w:hAnsi="Times New Roman"/>
          <w:sz w:val="24"/>
          <w:szCs w:val="24"/>
        </w:rPr>
      </w:r>
    </w:p>
    <w:p>
      <w:pPr>
        <w:pStyle w:val="style0"/>
        <w:widowControl w:val="false"/>
        <w:overflowPunct w:val="true"/>
        <w:spacing w:after="0" w:before="0" w:line="228" w:lineRule="auto"/>
        <w:ind w:firstLine="720" w:left="0" w:right="140"/>
        <w:contextualSpacing w:val="false"/>
        <w:jc w:val="both"/>
      </w:pPr>
      <w:r>
        <w:rPr>
          <w:rFonts w:ascii="Times New Roman" w:hAnsi="Times New Roman"/>
          <w:sz w:val="24"/>
          <w:szCs w:val="24"/>
        </w:rPr>
        <w:t xml:space="preserve">Анализ таблицы 3.4. показывает, что к 2025 г. суммарная расчетная присоединенная тепловая нагрузка по источнику теплоснабжения </w:t>
      </w:r>
      <w:r>
        <w:rPr>
          <w:rFonts w:ascii="Times New Roman" w:hAnsi="Times New Roman"/>
          <w:sz w:val="24"/>
          <w:szCs w:val="23"/>
        </w:rPr>
        <w:t>остается без изменения.</w:t>
      </w:r>
    </w:p>
    <w:p>
      <w:pPr>
        <w:pStyle w:val="style1"/>
        <w:ind w:firstLine="709" w:left="0" w:right="0"/>
      </w:pPr>
      <w:bookmarkStart w:id="47" w:name="__RefHeading__3226_1577988068"/>
      <w:bookmarkStart w:id="48" w:name="_Toc445886199"/>
      <w:bookmarkEnd w:id="47"/>
      <w:r>
        <w:rPr>
          <w:rFonts w:ascii="Times New Roman" w:hAnsi="Times New Roman"/>
          <w:bCs w:val="false"/>
          <w:color w:val="00000A"/>
          <w:sz w:val="24"/>
          <w:szCs w:val="24"/>
        </w:rPr>
        <w:t>3.2.3. Баланс располагаем</w:t>
      </w:r>
      <w:bookmarkStart w:id="49" w:name="_GoBack"/>
      <w:bookmarkEnd w:id="49"/>
      <w:bookmarkEnd w:id="48"/>
      <w:r>
        <w:rPr>
          <w:rFonts w:ascii="Times New Roman" w:hAnsi="Times New Roman"/>
          <w:bCs w:val="false"/>
          <w:color w:val="00000A"/>
          <w:sz w:val="24"/>
          <w:szCs w:val="24"/>
        </w:rPr>
        <w:t>ой тепловой мощности по состоянию на 2025-2030 г.г.</w:t>
      </w:r>
    </w:p>
    <w:p>
      <w:pPr>
        <w:pStyle w:val="style0"/>
        <w:widowControl w:val="false"/>
        <w:spacing w:after="0" w:before="0" w:line="329" w:lineRule="exact"/>
        <w:ind w:firstLine="709" w:left="0" w:right="0"/>
        <w:contextualSpacing w:val="false"/>
      </w:pPr>
      <w:r>
        <w:rPr>
          <w:rFonts w:ascii="Times New Roman" w:hAnsi="Times New Roman"/>
          <w:sz w:val="24"/>
          <w:szCs w:val="24"/>
        </w:rPr>
      </w:r>
    </w:p>
    <w:p>
      <w:pPr>
        <w:pStyle w:val="style0"/>
        <w:widowControl w:val="false"/>
        <w:overflowPunct w:val="true"/>
        <w:spacing w:after="0" w:before="0" w:line="225" w:lineRule="auto"/>
        <w:ind w:firstLine="709" w:left="0" w:right="140"/>
        <w:contextualSpacing w:val="false"/>
        <w:jc w:val="both"/>
      </w:pPr>
      <w:r>
        <w:rPr>
          <w:rFonts w:ascii="Times New Roman" w:hAnsi="Times New Roman"/>
          <w:sz w:val="24"/>
          <w:szCs w:val="24"/>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pPr>
        <w:pStyle w:val="style0"/>
        <w:widowControl w:val="false"/>
        <w:spacing w:after="0" w:before="0" w:line="100" w:lineRule="atLeast"/>
        <w:ind w:firstLine="709" w:left="0" w:right="0"/>
        <w:contextualSpacing w:val="false"/>
        <w:jc w:val="both"/>
      </w:pPr>
      <w:r>
        <w:rPr>
          <w:rFonts w:ascii="Times New Roman" w:hAnsi="Times New Roman"/>
          <w:sz w:val="24"/>
          <w:szCs w:val="24"/>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варианту приведены в таблице 3.5.</w:t>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t xml:space="preserve"> </w:t>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t>Таблица 3.5. – Прогнозируемые к 2025 г. приросты тепловых нагрузок в зонах действия энергоисточников при развитии систем теплоснабжения, (Гкал/ч)</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4927"/>
        <w:gridCol w:w="2674"/>
        <w:gridCol w:w="2536"/>
      </w:tblGrid>
      <w:tr>
        <w:trPr>
          <w:cantSplit w:val="false"/>
        </w:trPr>
        <w:tc>
          <w:tcPr>
            <w:tcW w:type="dxa" w:w="492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Источник</w:t>
            </w:r>
          </w:p>
        </w:tc>
        <w:tc>
          <w:tcPr>
            <w:tcW w:type="dxa" w:w="267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Располагаемая мощность</w:t>
            </w:r>
            <w:r>
              <w:rPr>
                <w:rFonts w:ascii="Times New Roman" w:hAnsi="Times New Roman"/>
                <w:sz w:val="20"/>
                <w:szCs w:val="20"/>
              </w:rPr>
              <w:t xml:space="preserve"> на 2030 г.</w:t>
            </w:r>
          </w:p>
        </w:tc>
        <w:tc>
          <w:tcPr>
            <w:tcW w:type="dxa" w:w="253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Тепловая нагрузка, Гкал/ч на 2030 г.</w:t>
            </w:r>
          </w:p>
        </w:tc>
      </w:tr>
      <w:tr>
        <w:trPr>
          <w:cantSplit w:val="false"/>
        </w:trPr>
        <w:tc>
          <w:tcPr>
            <w:tcW w:type="dxa" w:w="492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Котельная</w:t>
            </w:r>
          </w:p>
        </w:tc>
        <w:tc>
          <w:tcPr>
            <w:tcW w:type="dxa" w:w="267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0,515</w:t>
            </w:r>
          </w:p>
        </w:tc>
        <w:tc>
          <w:tcPr>
            <w:tcW w:type="dxa" w:w="253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0"/>
              </w:rPr>
              <w:t>0,424</w:t>
            </w:r>
          </w:p>
        </w:tc>
      </w:tr>
    </w:tbl>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t>Из таблицы 3.5. следует, что прирост тепловой нагрузки не ожидается. Балансы располагаемой тепловой мощности и присоединенной тепловой нагрузки по состоянию на 2030 г. представлены в табл. 3.6.</w:t>
      </w:r>
    </w:p>
    <w:p>
      <w:pPr>
        <w:pStyle w:val="style0"/>
        <w:widowControl w:val="false"/>
        <w:overflowPunct w:val="true"/>
        <w:spacing w:after="0" w:before="0" w:line="213" w:lineRule="auto"/>
        <w:ind w:hanging="0" w:left="0" w:right="140"/>
        <w:contextualSpacing w:val="false"/>
        <w:jc w:val="both"/>
      </w:pPr>
      <w:r>
        <w:rPr>
          <w:rFonts w:ascii="Times New Roman" w:hAnsi="Times New Roman"/>
          <w:sz w:val="24"/>
          <w:szCs w:val="24"/>
        </w:rPr>
      </w:r>
    </w:p>
    <w:p>
      <w:pPr>
        <w:pStyle w:val="style0"/>
        <w:widowControl w:val="false"/>
        <w:overflowPunct w:val="true"/>
        <w:spacing w:after="0" w:before="0" w:line="213" w:lineRule="auto"/>
        <w:ind w:firstLine="709" w:left="0" w:right="140"/>
        <w:contextualSpacing w:val="false"/>
        <w:jc w:val="both"/>
      </w:pPr>
      <w:r>
        <w:rPr>
          <w:rFonts w:ascii="Times New Roman" w:hAnsi="Times New Roman"/>
          <w:sz w:val="24"/>
          <w:szCs w:val="24"/>
        </w:rPr>
        <w:t>Таблица 3.6. – Балансы располагаемой тепловой мощности и присоединенной тепловой нагрузки на 2030 г. при развитии систем теплоснабжения (Гкал/ч)</w:t>
      </w:r>
    </w:p>
    <w:p>
      <w:pPr>
        <w:pStyle w:val="style0"/>
        <w:widowControl w:val="false"/>
        <w:overflowPunct w:val="true"/>
        <w:spacing w:after="0" w:before="0" w:line="213" w:lineRule="auto"/>
        <w:ind w:firstLine="708" w:left="0" w:right="140"/>
        <w:contextualSpacing w:val="false"/>
        <w:jc w:val="both"/>
      </w:pPr>
      <w:r>
        <w:rPr>
          <w:rFonts w:ascii="Times New Roman" w:hAnsi="Times New Roman"/>
          <w:sz w:val="24"/>
          <w:szCs w:val="24"/>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2883"/>
        <w:gridCol w:w="1468"/>
        <w:gridCol w:w="1447"/>
        <w:gridCol w:w="1446"/>
        <w:gridCol w:w="1447"/>
        <w:gridCol w:w="1445"/>
      </w:tblGrid>
      <w:tr>
        <w:trPr>
          <w:cantSplit w:val="false"/>
        </w:trPr>
        <w:tc>
          <w:tcPr>
            <w:tcW w:type="dxa" w:w="288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Источник</w:t>
            </w:r>
          </w:p>
        </w:tc>
        <w:tc>
          <w:tcPr>
            <w:tcW w:type="dxa" w:w="14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Располагаемая мощность на 2030 г.</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Расчетная тепловая нагрузка на 2030 г., Гкал/ч</w:t>
            </w:r>
          </w:p>
        </w:tc>
        <w:tc>
          <w:tcPr>
            <w:tcW w:type="dxa" w:w="144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Собственные нужды источника, Гкал/ч</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Потери в тепловых сетях наиболее холодного месяца, Гкал/ч</w:t>
            </w:r>
          </w:p>
        </w:tc>
        <w:tc>
          <w:tcPr>
            <w:tcW w:type="dxa" w:w="144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Резерв (+)</w:t>
            </w:r>
          </w:p>
          <w:p>
            <w:pPr>
              <w:pStyle w:val="style0"/>
              <w:widowControl w:val="false"/>
              <w:spacing w:after="0" w:before="0" w:line="100" w:lineRule="atLeast"/>
              <w:contextualSpacing w:val="false"/>
              <w:jc w:val="center"/>
            </w:pPr>
            <w:r>
              <w:rPr>
                <w:rFonts w:ascii="Times New Roman" w:hAnsi="Times New Roman"/>
                <w:sz w:val="20"/>
                <w:szCs w:val="24"/>
              </w:rPr>
              <w:t>Дефицит (-)</w:t>
            </w:r>
          </w:p>
        </w:tc>
      </w:tr>
      <w:tr>
        <w:trPr>
          <w:cantSplit w:val="false"/>
        </w:trPr>
        <w:tc>
          <w:tcPr>
            <w:tcW w:type="dxa" w:w="288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Котельная</w:t>
            </w:r>
          </w:p>
        </w:tc>
        <w:tc>
          <w:tcPr>
            <w:tcW w:type="dxa" w:w="14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0,515</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0,424</w:t>
            </w:r>
          </w:p>
        </w:tc>
        <w:tc>
          <w:tcPr>
            <w:tcW w:type="dxa" w:w="144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0,017</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0,029</w:t>
            </w:r>
          </w:p>
        </w:tc>
        <w:tc>
          <w:tcPr>
            <w:tcW w:type="dxa" w:w="144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0,046</w:t>
            </w:r>
          </w:p>
        </w:tc>
      </w:tr>
    </w:tbl>
    <w:p>
      <w:pPr>
        <w:pStyle w:val="style0"/>
        <w:widowControl w:val="false"/>
        <w:spacing w:after="0" w:before="0" w:line="100" w:lineRule="atLeast"/>
        <w:ind w:firstLine="709" w:left="0" w:right="0"/>
        <w:contextualSpacing w:val="false"/>
      </w:pPr>
      <w:r>
        <w:rPr>
          <w:rFonts w:ascii="Times New Roman" w:hAnsi="Times New Roman"/>
          <w:sz w:val="24"/>
          <w:szCs w:val="24"/>
        </w:rPr>
      </w:r>
    </w:p>
    <w:p>
      <w:pPr>
        <w:pStyle w:val="style0"/>
        <w:widowControl w:val="false"/>
        <w:spacing w:after="0" w:before="0" w:line="100" w:lineRule="atLeast"/>
        <w:ind w:firstLine="709" w:left="0" w:right="0"/>
        <w:contextualSpacing w:val="false"/>
        <w:jc w:val="both"/>
      </w:pPr>
      <w:r>
        <w:rPr>
          <w:rFonts w:ascii="Times New Roman" w:hAnsi="Times New Roman"/>
          <w:sz w:val="24"/>
          <w:szCs w:val="24"/>
        </w:rPr>
        <w:t xml:space="preserve">Анализ таблицы 3.6. показывает, что к 2030 г. суммарная расчетная присоединенная тепловая нагрузка по источнику теплоснабжения </w:t>
      </w:r>
      <w:r>
        <w:rPr>
          <w:rFonts w:ascii="Times New Roman" w:hAnsi="Times New Roman"/>
          <w:sz w:val="24"/>
          <w:szCs w:val="23"/>
        </w:rPr>
        <w:t>остается без изменения.</w:t>
      </w:r>
    </w:p>
    <w:p>
      <w:pPr>
        <w:pStyle w:val="style1"/>
        <w:ind w:firstLine="709" w:left="0" w:right="0"/>
      </w:pPr>
      <w:bookmarkStart w:id="50" w:name="__RefHeading__3228_1577988068"/>
      <w:bookmarkStart w:id="51" w:name="_Toc445886200"/>
      <w:bookmarkEnd w:id="50"/>
      <w:r>
        <w:rPr>
          <w:rFonts w:ascii="Times New Roman" w:hAnsi="Times New Roman"/>
          <w:bCs w:val="false"/>
          <w:color w:val="00000A"/>
          <w:sz w:val="24"/>
          <w:szCs w:val="23"/>
        </w:rPr>
        <w:t>3.2.4.  Выводы о резервах (дефицитах) тепловой мощности существующей системы теплоснабжения при обеспечении перспективной тепловой нагрузки</w:t>
      </w:r>
      <w:bookmarkEnd w:id="51"/>
      <w:r>
        <w:rPr>
          <w:rFonts w:ascii="Times New Roman" w:hAnsi="Times New Roman"/>
          <w:bCs w:val="false"/>
          <w:color w:val="00000A"/>
          <w:sz w:val="24"/>
          <w:szCs w:val="23"/>
        </w:rPr>
        <w:t xml:space="preserve"> </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Значения резервов (дефицит) тепловой мощности источников теплоснабжения п. Дубитель для развития системы теплоснабжения, отдельно по периодам реализации схемы теплоснабжения представлены в таблице 3.7. </w:t>
      </w:r>
    </w:p>
    <w:p>
      <w:pPr>
        <w:pStyle w:val="style0"/>
        <w:widowControl w:val="false"/>
        <w:spacing w:after="0" w:before="0" w:line="100" w:lineRule="atLeast"/>
        <w:ind w:firstLine="709" w:left="0" w:right="0"/>
        <w:contextualSpacing w:val="false"/>
      </w:pPr>
      <w:r>
        <w:rPr>
          <w:rFonts w:ascii="Times New Roman" w:hAnsi="Times New Roman"/>
          <w:color w:val="000000"/>
          <w:sz w:val="24"/>
          <w:szCs w:val="23"/>
        </w:rPr>
      </w:r>
    </w:p>
    <w:p>
      <w:pPr>
        <w:pStyle w:val="style0"/>
        <w:widowControl w:val="false"/>
        <w:spacing w:after="0" w:before="0" w:line="100" w:lineRule="atLeast"/>
        <w:contextualSpacing w:val="false"/>
      </w:pPr>
      <w:r>
        <w:rPr>
          <w:rFonts w:ascii="Times New Roman" w:hAnsi="Times New Roman"/>
          <w:color w:val="000000"/>
          <w:sz w:val="24"/>
          <w:szCs w:val="23"/>
        </w:rPr>
        <w:t xml:space="preserve">Таблица 3.7. – Резервы тепловой мощности на теплоисточниках </w:t>
      </w:r>
      <w:r>
        <w:rPr>
          <w:rFonts w:ascii="Times New Roman" w:hAnsi="Times New Roman"/>
          <w:sz w:val="24"/>
          <w:szCs w:val="24"/>
        </w:rPr>
        <w:t>п. Дубитель</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2176"/>
        <w:gridCol w:w="8079"/>
      </w:tblGrid>
      <w:tr>
        <w:trPr>
          <w:trHeight w:hRule="atLeast" w:val="317"/>
          <w:cantSplit w:val="false"/>
        </w:trPr>
        <w:tc>
          <w:tcPr>
            <w:tcW w:type="dxa" w:w="2176"/>
            <w:vMerge w:val="restart"/>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Наименование варианта развития</w:t>
            </w:r>
          </w:p>
        </w:tc>
        <w:tc>
          <w:tcPr>
            <w:tcW w:type="dxa" w:w="8079"/>
            <w:gridSpan w:val="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Резерв (+) Дефицит (-) тепловой мощности, Гкал/ч</w:t>
            </w:r>
          </w:p>
        </w:tc>
      </w:tr>
      <w:tr>
        <w:trPr>
          <w:trHeight w:hRule="atLeast" w:val="327"/>
          <w:cantSplit w:val="false"/>
        </w:trPr>
        <w:tc>
          <w:tcPr>
            <w:tcW w:type="dxa" w:w="2176"/>
            <w:vMerge w:val="continue"/>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jc w:val="center"/>
            </w:pPr>
            <w:r>
              <w:rPr>
                <w:sz w:val="20"/>
              </w:rPr>
            </w:r>
          </w:p>
        </w:tc>
        <w:tc>
          <w:tcPr>
            <w:tcW w:type="dxa" w:w="115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2016 г.</w:t>
            </w:r>
          </w:p>
        </w:tc>
        <w:tc>
          <w:tcPr>
            <w:tcW w:type="dxa" w:w="115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2017 г.</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2018 г.</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2019 г.</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2020 г.</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2025 г.</w:t>
            </w:r>
          </w:p>
        </w:tc>
        <w:tc>
          <w:tcPr>
            <w:tcW w:type="dxa" w:w="115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4"/>
              </w:rPr>
              <w:t>2030 г.</w:t>
            </w:r>
          </w:p>
        </w:tc>
      </w:tr>
      <w:tr>
        <w:trPr>
          <w:trHeight w:hRule="atLeast" w:val="317"/>
          <w:cantSplit w:val="false"/>
        </w:trPr>
        <w:tc>
          <w:tcPr>
            <w:tcW w:type="dxa" w:w="217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widowControl w:val="false"/>
              <w:spacing w:after="0" w:before="0" w:line="100" w:lineRule="atLeast"/>
              <w:contextualSpacing w:val="false"/>
              <w:jc w:val="center"/>
            </w:pPr>
            <w:r>
              <w:rPr>
                <w:rFonts w:ascii="Times New Roman" w:hAnsi="Times New Roman"/>
                <w:sz w:val="20"/>
                <w:szCs w:val="23"/>
              </w:rPr>
              <w:t>в т.ч. на котельных, задействованных в схеме теплоснабжения</w:t>
            </w:r>
          </w:p>
        </w:tc>
        <w:tc>
          <w:tcPr>
            <w:tcW w:type="dxa" w:w="115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-0,04</w:t>
            </w:r>
          </w:p>
        </w:tc>
        <w:tc>
          <w:tcPr>
            <w:tcW w:type="dxa" w:w="115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0,046</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0,046</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0,046</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0,046</w:t>
            </w:r>
          </w:p>
        </w:tc>
        <w:tc>
          <w:tcPr>
            <w:tcW w:type="dxa" w:w="115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0,046</w:t>
            </w:r>
          </w:p>
        </w:tc>
        <w:tc>
          <w:tcPr>
            <w:tcW w:type="dxa" w:w="115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0,046</w:t>
            </w:r>
          </w:p>
        </w:tc>
      </w:tr>
    </w:tbl>
    <w:p>
      <w:pPr>
        <w:pStyle w:val="style0"/>
        <w:widowControl w:val="false"/>
        <w:spacing w:after="0" w:before="0" w:line="100" w:lineRule="atLeast"/>
        <w:ind w:firstLine="709" w:left="0" w:right="0"/>
        <w:contextualSpacing w:val="false"/>
      </w:pPr>
      <w:r>
        <w:rPr>
          <w:rFonts w:ascii="Times New Roman" w:hAnsi="Times New Roman"/>
          <w:sz w:val="28"/>
          <w:szCs w:val="24"/>
        </w:rPr>
      </w:r>
    </w:p>
    <w:p>
      <w:pPr>
        <w:pStyle w:val="style0"/>
        <w:widowControl w:val="false"/>
        <w:spacing w:after="0" w:before="0" w:line="100" w:lineRule="atLeast"/>
        <w:ind w:firstLine="709" w:left="0" w:right="0"/>
        <w:contextualSpacing w:val="false"/>
        <w:jc w:val="both"/>
      </w:pPr>
      <w:r>
        <w:rPr>
          <w:rFonts w:ascii="Times New Roman" w:hAnsi="Times New Roman"/>
          <w:sz w:val="24"/>
          <w:szCs w:val="23"/>
        </w:rPr>
        <w:t xml:space="preserve">При положительном общем балансе располагаемой тепловой мощности теплоисточника и присоединенной тепловой нагрузки </w:t>
      </w:r>
      <w:r>
        <w:rPr>
          <w:rFonts w:ascii="Times New Roman" w:hAnsi="Times New Roman"/>
          <w:sz w:val="24"/>
          <w:szCs w:val="24"/>
        </w:rPr>
        <w:t xml:space="preserve">п. Дубитель </w:t>
      </w:r>
      <w:r>
        <w:rPr>
          <w:rFonts w:ascii="Times New Roman" w:hAnsi="Times New Roman"/>
          <w:sz w:val="24"/>
          <w:szCs w:val="23"/>
        </w:rPr>
        <w:t>отсутствуют дефициты на теплоисточнике поселка на разных этапах.</w:t>
      </w:r>
    </w:p>
    <w:p>
      <w:pPr>
        <w:pStyle w:val="style0"/>
        <w:widowControl w:val="false"/>
        <w:spacing w:after="0" w:before="0" w:line="100" w:lineRule="atLeast"/>
        <w:ind w:firstLine="709" w:left="0" w:right="0"/>
        <w:contextualSpacing w:val="false"/>
        <w:jc w:val="both"/>
      </w:pPr>
      <w:r>
        <w:rPr>
          <w:rFonts w:ascii="Times New Roman" w:hAnsi="Times New Roman"/>
          <w:sz w:val="24"/>
          <w:szCs w:val="23"/>
        </w:rPr>
      </w:r>
    </w:p>
    <w:p>
      <w:pPr>
        <w:pStyle w:val="style0"/>
        <w:widowControl w:val="false"/>
        <w:spacing w:after="0" w:before="0" w:line="100" w:lineRule="atLeast"/>
        <w:ind w:firstLine="709" w:left="0" w:right="0"/>
        <w:contextualSpacing w:val="false"/>
        <w:jc w:val="both"/>
      </w:pPr>
      <w:r>
        <w:rPr>
          <w:rFonts w:ascii="Times New Roman" w:hAnsi="Times New Roman"/>
          <w:sz w:val="24"/>
          <w:szCs w:val="23"/>
        </w:rPr>
      </w:r>
    </w:p>
    <w:p>
      <w:pPr>
        <w:pStyle w:val="style0"/>
        <w:widowControl w:val="false"/>
        <w:spacing w:after="0" w:before="0" w:line="100" w:lineRule="atLeast"/>
        <w:ind w:firstLine="709" w:left="0" w:right="0"/>
        <w:contextualSpacing w:val="false"/>
        <w:jc w:val="both"/>
      </w:pPr>
      <w:r>
        <w:rPr>
          <w:rFonts w:ascii="Times New Roman" w:hAnsi="Times New Roman"/>
          <w:sz w:val="24"/>
          <w:szCs w:val="23"/>
        </w:rPr>
      </w:r>
    </w:p>
    <w:p>
      <w:pPr>
        <w:pStyle w:val="style1"/>
        <w:spacing w:after="0" w:before="0"/>
        <w:ind w:firstLine="709" w:left="0" w:right="0"/>
        <w:contextualSpacing w:val="false"/>
      </w:pPr>
      <w:bookmarkStart w:id="52" w:name="__RefHeading__3230_1577988068"/>
      <w:bookmarkStart w:id="53" w:name="_Toc445886201"/>
      <w:bookmarkEnd w:id="52"/>
      <w:bookmarkEnd w:id="53"/>
      <w:r>
        <w:rPr>
          <w:rFonts w:ascii="Times New Roman" w:hAnsi="Times New Roman"/>
          <w:bCs w:val="false"/>
          <w:color w:val="00000A"/>
          <w:sz w:val="24"/>
          <w:szCs w:val="24"/>
        </w:rPr>
        <w:t>4. Перспективные балансы теплоносителя</w:t>
      </w:r>
    </w:p>
    <w:p>
      <w:pPr>
        <w:pStyle w:val="style1"/>
        <w:spacing w:after="0" w:before="0"/>
        <w:ind w:firstLine="709" w:left="0" w:right="0"/>
        <w:contextualSpacing w:val="false"/>
      </w:pPr>
      <w:bookmarkStart w:id="54" w:name="__RefHeading__3232_1577988068"/>
      <w:bookmarkStart w:id="55" w:name="_Toc445886202"/>
      <w:bookmarkEnd w:id="54"/>
      <w:r>
        <w:rPr>
          <w:rFonts w:ascii="Times New Roman" w:hAnsi="Times New Roman"/>
          <w:bCs w:val="false"/>
          <w:color w:val="00000A"/>
          <w:sz w:val="24"/>
          <w:szCs w:val="24"/>
        </w:rPr>
        <w:t xml:space="preserve">4.1. </w:t>
      </w:r>
      <w:bookmarkEnd w:id="55"/>
      <w:r>
        <w:rPr>
          <w:rFonts w:ascii="Times New Roman" w:hAnsi="Times New Roman"/>
          <w:color w:val="00000A"/>
          <w:sz w:val="24"/>
        </w:rPr>
        <w:t>Перспективные объемы теплоносителя</w:t>
      </w:r>
    </w:p>
    <w:p>
      <w:pPr>
        <w:pStyle w:val="style0"/>
        <w:widowControl w:val="false"/>
        <w:spacing w:after="0" w:before="0" w:line="100" w:lineRule="atLeast"/>
        <w:ind w:firstLine="567" w:left="0" w:right="0"/>
        <w:contextualSpacing w:val="false"/>
      </w:pPr>
      <w:r>
        <w:rPr>
          <w:rFonts w:ascii="Times New Roman" w:hAnsi="Times New Roman"/>
          <w:b/>
          <w:bCs/>
          <w:sz w:val="24"/>
          <w:szCs w:val="24"/>
        </w:rPr>
      </w:r>
    </w:p>
    <w:p>
      <w:pPr>
        <w:pStyle w:val="style0"/>
        <w:spacing w:after="0" w:before="0" w:line="100" w:lineRule="atLeast"/>
        <w:ind w:firstLine="709" w:left="0" w:right="0"/>
        <w:contextualSpacing w:val="false"/>
        <w:jc w:val="both"/>
      </w:pPr>
      <w:r>
        <w:rPr>
          <w:rFonts w:ascii="Times New Roman" w:hAnsi="Times New Roman"/>
          <w:color w:val="000000"/>
          <w:sz w:val="24"/>
        </w:rPr>
        <w:t xml:space="preserve">Перспективные объемы теплоносителя, необходимые для передачи теплоносителя от источника тепловой энергии до потребителя в зоне действия источника тепловой энергии, прогнозировалась исходя из следующих условий: </w:t>
      </w:r>
    </w:p>
    <w:p>
      <w:pPr>
        <w:pStyle w:val="style0"/>
        <w:spacing w:after="0" w:before="0" w:line="100" w:lineRule="atLeast"/>
        <w:ind w:firstLine="709" w:left="0" w:right="0"/>
        <w:contextualSpacing w:val="false"/>
        <w:jc w:val="both"/>
      </w:pPr>
      <w:r>
        <w:rPr>
          <w:rFonts w:ascii="Times New Roman" w:hAnsi="Times New Roman"/>
          <w:color w:val="000000"/>
          <w:sz w:val="24"/>
        </w:rPr>
        <w:t xml:space="preserve">– </w:t>
      </w:r>
      <w:r>
        <w:rPr>
          <w:rFonts w:ascii="Times New Roman" w:hAnsi="Times New Roman"/>
          <w:color w:val="000000"/>
          <w:sz w:val="24"/>
        </w:rPr>
        <w:t xml:space="preserve">Регулирование отпуска тепловой энергии в тепловые сети в зависимости от температуры наружного воздуха принято по регулированию отопительно-вентиляционной нагрузки с качественным методом регулирования с расчетными параметрами теплоносителя; </w:t>
      </w:r>
    </w:p>
    <w:p>
      <w:pPr>
        <w:pStyle w:val="style0"/>
        <w:spacing w:after="0" w:before="0" w:line="100" w:lineRule="atLeast"/>
        <w:ind w:firstLine="709" w:left="0" w:right="0"/>
        <w:contextualSpacing w:val="false"/>
        <w:jc w:val="both"/>
      </w:pPr>
      <w:r>
        <w:rPr>
          <w:rFonts w:ascii="Times New Roman" w:hAnsi="Times New Roman"/>
          <w:color w:val="000000"/>
          <w:sz w:val="24"/>
        </w:rPr>
        <w:t xml:space="preserve">– </w:t>
      </w:r>
      <w:r>
        <w:rPr>
          <w:rFonts w:ascii="Times New Roman" w:hAnsi="Times New Roman"/>
          <w:color w:val="000000"/>
          <w:sz w:val="24"/>
        </w:rPr>
        <w:t xml:space="preserve">Расчетный расход теплоносителя в тепловых сетях изменяется с темпом присоединения (подключения) суммарной тепловой нагрузки и с учетом реализации мероприятий по наладке режимов в системе транспорта теплоносителя; </w:t>
      </w:r>
    </w:p>
    <w:p>
      <w:pPr>
        <w:pStyle w:val="style0"/>
        <w:spacing w:after="0" w:before="0" w:line="100" w:lineRule="atLeast"/>
        <w:ind w:firstLine="709" w:left="0" w:right="0"/>
        <w:contextualSpacing w:val="false"/>
        <w:jc w:val="both"/>
      </w:pPr>
      <w:r>
        <w:rPr>
          <w:rFonts w:ascii="Times New Roman" w:hAnsi="Times New Roman"/>
          <w:color w:val="000000"/>
          <w:sz w:val="24"/>
        </w:rPr>
        <w:t xml:space="preserve">– </w:t>
      </w:r>
      <w:r>
        <w:rPr>
          <w:rFonts w:ascii="Times New Roman" w:hAnsi="Times New Roman"/>
          <w:color w:val="000000"/>
          <w:sz w:val="24"/>
        </w:rPr>
        <w:t>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 в соответствии с требованиями Федерального закона от 07.12.2011 №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pPr>
        <w:sectPr>
          <w:type w:val="continuous"/>
          <w:pgSz w:h="16838" w:w="11906"/>
          <w:pgMar w:bottom="1134" w:footer="680" w:gutter="0" w:header="0" w:left="1134" w:right="850" w:top="1134"/>
          <w:pgNumType w:fmt="decimal"/>
          <w:formProt w:val="false"/>
          <w:textDirection w:val="lrTb"/>
          <w:docGrid w:charSpace="4096" w:linePitch="360" w:type="default"/>
        </w:sectPr>
        <w:pStyle w:val="style0"/>
        <w:widowControl w:val="false"/>
        <w:overflowPunct w:val="true"/>
        <w:spacing w:after="0" w:before="0"/>
        <w:ind w:firstLine="852" w:left="20" w:right="140"/>
        <w:contextualSpacing w:val="false"/>
        <w:jc w:val="both"/>
      </w:pPr>
      <w:r>
        <w:rPr>
          <w:rFonts w:ascii="Times New Roman" w:hAnsi="Times New Roman"/>
          <w:sz w:val="24"/>
          <w:szCs w:val="23"/>
        </w:rPr>
        <w:t>Перспективный баланс теплоносителя системы теплоснабжения приведен в табл. 4.1.</w:t>
      </w:r>
    </w:p>
    <w:p>
      <w:pPr>
        <w:pStyle w:val="style0"/>
        <w:spacing w:after="0" w:before="0" w:line="100" w:lineRule="atLeast"/>
        <w:contextualSpacing w:val="false"/>
      </w:pPr>
      <w:r>
        <w:rPr>
          <w:rFonts w:ascii="Times New Roman" w:hAnsi="Times New Roman"/>
          <w:sz w:val="24"/>
          <w:szCs w:val="23"/>
        </w:rPr>
        <w:t>Таблица 4.1. Перспективный баланс теплоносителя системы теплоснабжения</w:t>
      </w:r>
    </w:p>
    <w:p>
      <w:pPr>
        <w:pStyle w:val="style0"/>
        <w:spacing w:after="0" w:before="0" w:line="100" w:lineRule="atLeast"/>
        <w:ind w:firstLine="709" w:left="0" w:right="0"/>
        <w:contextualSpacing w:val="false"/>
      </w:pPr>
      <w:r>
        <w:rPr>
          <w:rFonts w:ascii="Times New Roman" w:hAnsi="Times New Roman"/>
          <w:sz w:val="24"/>
          <w:szCs w:val="23"/>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3793"/>
        <w:gridCol w:w="1329"/>
        <w:gridCol w:w="1448"/>
        <w:gridCol w:w="1448"/>
        <w:gridCol w:w="1448"/>
        <w:gridCol w:w="1448"/>
        <w:gridCol w:w="1448"/>
        <w:gridCol w:w="1448"/>
        <w:gridCol w:w="1447"/>
      </w:tblGrid>
      <w:tr>
        <w:trPr>
          <w:trHeight w:hRule="atLeast" w:val="260"/>
          <w:cantSplit w:val="false"/>
        </w:trPr>
        <w:tc>
          <w:tcPr>
            <w:tcW w:type="dxa" w:w="379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Показатель</w:t>
            </w:r>
          </w:p>
        </w:tc>
        <w:tc>
          <w:tcPr>
            <w:tcW w:type="dxa" w:w="13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Единицы измерения</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2016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2017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2018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2019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2020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2025 г.</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2030 г.</w:t>
            </w:r>
          </w:p>
        </w:tc>
      </w:tr>
      <w:tr>
        <w:trPr>
          <w:trHeight w:hRule="atLeast" w:val="250"/>
          <w:cantSplit w:val="false"/>
        </w:trPr>
        <w:tc>
          <w:tcPr>
            <w:tcW w:type="dxa" w:w="15257"/>
            <w:gridSpan w:val="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color w:val="000000"/>
                <w:sz w:val="20"/>
              </w:rPr>
              <w:t xml:space="preserve">Зона действия котельной </w:t>
            </w:r>
            <w:r>
              <w:rPr>
                <w:rFonts w:ascii="Times New Roman" w:hAnsi="Times New Roman"/>
                <w:b/>
                <w:sz w:val="24"/>
                <w:szCs w:val="24"/>
              </w:rPr>
              <w:t>ЖК</w:t>
            </w:r>
            <w:r>
              <w:rPr>
                <w:rFonts w:ascii="Times New Roman" w:hAnsi="Times New Roman"/>
                <w:b/>
                <w:sz w:val="24"/>
                <w:szCs w:val="24"/>
              </w:rPr>
              <w:t>Ц «</w:t>
            </w:r>
            <w:r>
              <w:rPr>
                <w:rFonts w:ascii="Times New Roman" w:hAnsi="Times New Roman"/>
                <w:b/>
                <w:sz w:val="24"/>
                <w:szCs w:val="24"/>
              </w:rPr>
              <w:t>Зубово-Поляна»</w:t>
            </w:r>
          </w:p>
        </w:tc>
      </w:tr>
      <w:tr>
        <w:trPr>
          <w:trHeight w:hRule="atLeast" w:val="250"/>
          <w:cantSplit w:val="false"/>
        </w:trPr>
        <w:tc>
          <w:tcPr>
            <w:tcW w:type="dxa" w:w="379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color w:val="000000"/>
                <w:sz w:val="20"/>
              </w:rPr>
              <w:t>Всего подпитка тепловой сети, вт.ч</w:t>
            </w:r>
          </w:p>
        </w:tc>
        <w:tc>
          <w:tcPr>
            <w:tcW w:type="dxa" w:w="13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тонн/год</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361,742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361,742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361,742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361,742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361,742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361,742</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361,742</w:t>
            </w:r>
          </w:p>
        </w:tc>
      </w:tr>
      <w:tr>
        <w:trPr>
          <w:trHeight w:hRule="atLeast" w:val="250"/>
          <w:cantSplit w:val="false"/>
        </w:trPr>
        <w:tc>
          <w:tcPr>
            <w:tcW w:type="dxa" w:w="379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color w:val="000000"/>
                <w:sz w:val="20"/>
              </w:rPr>
              <w:t>На пусковое заполнение</w:t>
            </w:r>
          </w:p>
        </w:tc>
        <w:tc>
          <w:tcPr>
            <w:tcW w:type="dxa" w:w="13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тонн/год</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32,052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32,052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32,052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32,052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32,052</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32,052</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32,052</w:t>
            </w:r>
          </w:p>
        </w:tc>
      </w:tr>
      <w:tr>
        <w:trPr>
          <w:trHeight w:hRule="atLeast" w:val="260"/>
          <w:cantSplit w:val="false"/>
        </w:trPr>
        <w:tc>
          <w:tcPr>
            <w:tcW w:type="dxa" w:w="379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color w:val="000000"/>
                <w:sz w:val="20"/>
              </w:rPr>
              <w:t>Годовые затраты и потери теплоносителя с утечками</w:t>
            </w:r>
          </w:p>
        </w:tc>
        <w:tc>
          <w:tcPr>
            <w:tcW w:type="dxa" w:w="13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тонн/год</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393,794</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393,794</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393,794</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393,794</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393,794</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393,794</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393,794</w:t>
            </w:r>
          </w:p>
        </w:tc>
      </w:tr>
    </w:tbl>
    <w:p>
      <w:pPr>
        <w:sectPr>
          <w:footerReference r:id="rId3" w:type="default"/>
          <w:type w:val="nextPage"/>
          <w:pgSz w:h="11906" w:orient="landscape" w:w="16838"/>
          <w:pgMar w:bottom="1134" w:footer="680" w:gutter="0" w:header="0" w:left="1134" w:right="1134" w:top="851"/>
          <w:pgNumType w:fmt="decimal"/>
          <w:formProt w:val="false"/>
          <w:textDirection w:val="lrTb"/>
          <w:docGrid w:charSpace="4096" w:linePitch="360" w:type="default"/>
        </w:sectPr>
        <w:pStyle w:val="style0"/>
        <w:widowControl w:val="false"/>
        <w:overflowPunct w:val="true"/>
        <w:spacing w:after="0" w:before="0"/>
        <w:ind w:firstLine="852" w:left="20" w:right="140"/>
        <w:contextualSpacing w:val="false"/>
        <w:jc w:val="both"/>
      </w:pPr>
      <w:r>
        <w:rPr>
          <w:rFonts w:ascii="Times New Roman" w:hAnsi="Times New Roman"/>
          <w:sz w:val="24"/>
          <w:szCs w:val="23"/>
        </w:rPr>
      </w:r>
    </w:p>
    <w:p>
      <w:pPr>
        <w:pStyle w:val="style1"/>
        <w:spacing w:after="0" w:before="120"/>
        <w:ind w:firstLine="709" w:left="0" w:right="0"/>
        <w:contextualSpacing w:val="false"/>
      </w:pPr>
      <w:bookmarkStart w:id="56" w:name="__RefHeading__3234_1577988068"/>
      <w:bookmarkStart w:id="57" w:name="_Toc445886203"/>
      <w:bookmarkEnd w:id="56"/>
      <w:bookmarkEnd w:id="57"/>
      <w:r>
        <w:rPr>
          <w:rFonts w:ascii="Times New Roman" w:hAnsi="Times New Roman"/>
          <w:bCs w:val="false"/>
          <w:color w:val="00000A"/>
          <w:sz w:val="24"/>
          <w:szCs w:val="24"/>
        </w:rPr>
        <w:t>4.2 Аварийные режимы подпитки тепловой сети</w:t>
      </w:r>
    </w:p>
    <w:p>
      <w:pPr>
        <w:pStyle w:val="style0"/>
        <w:widowControl w:val="false"/>
        <w:spacing w:after="0" w:before="0" w:line="329" w:lineRule="exact"/>
        <w:contextualSpacing w:val="false"/>
      </w:pPr>
      <w:r>
        <w:rPr>
          <w:rFonts w:ascii="Times New Roman" w:hAnsi="Times New Roman"/>
          <w:sz w:val="24"/>
          <w:szCs w:val="24"/>
        </w:rPr>
      </w:r>
    </w:p>
    <w:p>
      <w:pPr>
        <w:pStyle w:val="style0"/>
        <w:spacing w:after="0" w:before="0" w:line="100" w:lineRule="atLeast"/>
        <w:ind w:firstLine="709" w:left="0" w:right="0"/>
        <w:contextualSpacing w:val="false"/>
        <w:jc w:val="both"/>
      </w:pPr>
      <w:r>
        <w:rPr>
          <w:rFonts w:ascii="Times New Roman" w:hAnsi="Times New Roman"/>
          <w:sz w:val="24"/>
        </w:rPr>
        <w:t>При возникновении аварийной ситуации на любом участке магистрального трубопровода, возможно организовать обеспечение подпитки тепловой сети за счет использования существующих баков аккумуляторов и водопроводной сети.</w:t>
      </w:r>
    </w:p>
    <w:p>
      <w:pPr>
        <w:pStyle w:val="style1"/>
        <w:ind w:firstLine="709" w:left="0" w:right="0"/>
      </w:pPr>
      <w:bookmarkStart w:id="58" w:name="__RefHeading__3236_1577988068"/>
      <w:bookmarkStart w:id="59" w:name="_Toc445886204"/>
      <w:bookmarkEnd w:id="58"/>
      <w:bookmarkEnd w:id="59"/>
      <w:r>
        <w:rPr>
          <w:rFonts w:ascii="Times New Roman" w:hAnsi="Times New Roman"/>
          <w:bCs w:val="false"/>
          <w:color w:val="00000A"/>
          <w:sz w:val="24"/>
          <w:szCs w:val="24"/>
        </w:rPr>
        <w:t>5. Предложения по строительству и реконструкции и техническому перевооружению источников тепловой энергии.</w:t>
      </w:r>
    </w:p>
    <w:p>
      <w:pPr>
        <w:pStyle w:val="style0"/>
        <w:widowControl w:val="false"/>
        <w:overflowPunct w:val="true"/>
        <w:spacing w:after="0" w:before="0"/>
        <w:ind w:firstLine="547" w:left="20" w:right="140"/>
        <w:contextualSpacing w:val="false"/>
        <w:jc w:val="both"/>
      </w:pPr>
      <w:r>
        <w:rPr>
          <w:rFonts w:ascii="Times New Roman" w:hAnsi="Times New Roman"/>
          <w:b/>
          <w:bCs/>
          <w:sz w:val="24"/>
          <w:szCs w:val="24"/>
        </w:rPr>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Предложения по строительству,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 </w:t>
      </w:r>
    </w:p>
    <w:p>
      <w:pPr>
        <w:pStyle w:val="style0"/>
        <w:widowControl w:val="false"/>
        <w:overflowPunct w:val="true"/>
        <w:spacing w:after="0" w:before="0"/>
        <w:ind w:firstLine="567" w:left="0" w:right="0"/>
        <w:contextualSpacing w:val="false"/>
        <w:jc w:val="both"/>
      </w:pPr>
      <w:r>
        <w:rPr>
          <w:rFonts w:ascii="Times New Roman" w:hAnsi="Times New Roman"/>
          <w:sz w:val="24"/>
        </w:rPr>
        <w:t xml:space="preserve">В связи с тем, что расширение зоны деятельности источника централизованного теплоснабжения, а также прироста тепловых нагрузок потребителей в существующей зоне действия источника </w:t>
      </w:r>
      <w:r>
        <w:rPr>
          <w:rFonts w:ascii="Times New Roman" w:hAnsi="Times New Roman"/>
          <w:sz w:val="24"/>
          <w:szCs w:val="24"/>
        </w:rPr>
        <w:t>п. Дубитель</w:t>
      </w:r>
      <w:r>
        <w:rPr>
          <w:rFonts w:ascii="Times New Roman" w:hAnsi="Times New Roman"/>
          <w:sz w:val="24"/>
        </w:rPr>
        <w:t xml:space="preserve"> не предусматривается, предлагается провести мероприятия по повышению энергетической эффективности котельной с установкой новой блочно-модульной котельной.</w:t>
      </w:r>
    </w:p>
    <w:p>
      <w:pPr>
        <w:pStyle w:val="style0"/>
        <w:spacing w:after="0" w:before="0" w:line="100" w:lineRule="atLeast"/>
        <w:ind w:firstLine="709" w:left="0" w:right="0"/>
        <w:contextualSpacing w:val="false"/>
        <w:jc w:val="both"/>
      </w:pPr>
      <w:r>
        <w:rPr>
          <w:rFonts w:ascii="Times New Roman" w:hAnsi="Times New Roman"/>
          <w:sz w:val="24"/>
        </w:rPr>
      </w:r>
    </w:p>
    <w:p>
      <w:pPr>
        <w:pStyle w:val="style1"/>
        <w:spacing w:after="0" w:before="0"/>
        <w:ind w:firstLine="709" w:left="0" w:right="0"/>
        <w:contextualSpacing w:val="false"/>
        <w:jc w:val="both"/>
      </w:pPr>
      <w:bookmarkStart w:id="60" w:name="__RefHeading__3238_1577988068"/>
      <w:bookmarkStart w:id="61" w:name="_Toc445886205"/>
      <w:bookmarkEnd w:id="60"/>
      <w:r>
        <w:rPr>
          <w:rFonts w:ascii="Times New Roman" w:hAnsi="Times New Roman"/>
          <w:bCs w:val="false"/>
          <w:color w:val="00000A"/>
          <w:sz w:val="24"/>
          <w:szCs w:val="23"/>
        </w:rPr>
        <w:t>5.1 Техническое перевооружение источников теплоснабжения в период с 2015 до 2020 г.г.</w:t>
      </w:r>
      <w:bookmarkEnd w:id="61"/>
      <w:r>
        <w:rPr>
          <w:rFonts w:ascii="Times New Roman" w:hAnsi="Times New Roman"/>
          <w:bCs w:val="false"/>
          <w:color w:val="00000A"/>
          <w:sz w:val="24"/>
          <w:szCs w:val="23"/>
        </w:rPr>
        <w:t xml:space="preserve"> </w:t>
      </w:r>
    </w:p>
    <w:p>
      <w:pPr>
        <w:pStyle w:val="style1"/>
        <w:spacing w:after="0" w:before="0"/>
        <w:ind w:firstLine="709" w:left="0" w:right="0"/>
        <w:contextualSpacing w:val="false"/>
      </w:pPr>
      <w:bookmarkStart w:id="62" w:name="__RefHeading__3240_1577988068"/>
      <w:bookmarkStart w:id="63" w:name="_Toc445886206"/>
      <w:bookmarkEnd w:id="62"/>
      <w:bookmarkEnd w:id="63"/>
      <w:r>
        <w:rPr>
          <w:rFonts w:ascii="Times New Roman" w:hAnsi="Times New Roman"/>
          <w:bCs w:val="false"/>
          <w:color w:val="00000A"/>
          <w:sz w:val="24"/>
          <w:szCs w:val="23"/>
        </w:rPr>
        <w:t>5. 1.1. Реконструкция котельной</w:t>
      </w:r>
    </w:p>
    <w:p>
      <w:pPr>
        <w:pStyle w:val="style0"/>
        <w:spacing w:after="0" w:before="0" w:line="100" w:lineRule="atLeast"/>
        <w:ind w:firstLine="709" w:left="0" w:right="0"/>
        <w:contextualSpacing w:val="false"/>
      </w:pPr>
      <w:r>
        <w:rPr>
          <w:rFonts w:ascii="Times New Roman" w:hAnsi="Times New Roman"/>
          <w:sz w:val="24"/>
        </w:rPr>
      </w:r>
    </w:p>
    <w:p>
      <w:pPr>
        <w:pStyle w:val="style0"/>
        <w:spacing w:after="0" w:before="0" w:line="100" w:lineRule="atLeast"/>
        <w:ind w:firstLine="709" w:left="0" w:right="0"/>
        <w:contextualSpacing w:val="false"/>
        <w:jc w:val="both"/>
      </w:pPr>
      <w:r>
        <w:rPr>
          <w:rFonts w:ascii="Times New Roman" w:hAnsi="Times New Roman"/>
          <w:sz w:val="24"/>
        </w:rPr>
        <w:t xml:space="preserve">Котельная, находящаяся на балансе </w:t>
      </w:r>
      <w:r>
        <w:rPr>
          <w:rFonts w:ascii="Times New Roman" w:hAnsi="Times New Roman"/>
          <w:sz w:val="24"/>
          <w:szCs w:val="24"/>
        </w:rPr>
        <w:t xml:space="preserve">ЖКХ «Зубово-Поляна», </w:t>
      </w:r>
      <w:r>
        <w:rPr>
          <w:rFonts w:ascii="Times New Roman" w:hAnsi="Times New Roman"/>
          <w:sz w:val="24"/>
        </w:rPr>
        <w:t xml:space="preserve">с котлами </w:t>
      </w:r>
      <w:r>
        <w:rPr>
          <w:rFonts w:ascii="Times New Roman" w:hAnsi="Times New Roman"/>
          <w:sz w:val="24"/>
          <w:szCs w:val="24"/>
        </w:rPr>
        <w:t>КВа-0,25</w:t>
      </w:r>
      <w:r>
        <w:rPr>
          <w:rFonts w:ascii="Times New Roman" w:hAnsi="Times New Roman"/>
          <w:color w:val="FF0000"/>
          <w:sz w:val="24"/>
        </w:rPr>
        <w:t xml:space="preserve"> </w:t>
      </w:r>
      <w:r>
        <w:rPr>
          <w:rFonts w:ascii="Times New Roman" w:hAnsi="Times New Roman"/>
          <w:sz w:val="24"/>
        </w:rPr>
        <w:t xml:space="preserve">в количестве 2 шт. и общей установленной мощностью 0,43 Гкал/ч, предназначена для теплоснабжения </w:t>
      </w:r>
      <w:r>
        <w:rPr>
          <w:rFonts w:ascii="Times New Roman" w:hAnsi="Times New Roman"/>
          <w:sz w:val="24"/>
          <w:szCs w:val="24"/>
        </w:rPr>
        <w:t>п. Дубитель</w:t>
      </w:r>
      <w:r>
        <w:rPr>
          <w:rFonts w:ascii="Times New Roman" w:hAnsi="Times New Roman"/>
          <w:sz w:val="24"/>
        </w:rPr>
        <w:t>.</w:t>
      </w:r>
    </w:p>
    <w:p>
      <w:pPr>
        <w:pStyle w:val="style0"/>
        <w:spacing w:after="0" w:before="0" w:line="100" w:lineRule="atLeast"/>
        <w:ind w:firstLine="709" w:left="0" w:right="0"/>
        <w:contextualSpacing w:val="false"/>
        <w:jc w:val="both"/>
      </w:pPr>
      <w:r>
        <w:rPr>
          <w:rFonts w:ascii="Times New Roman" w:hAnsi="Times New Roman"/>
          <w:sz w:val="24"/>
        </w:rPr>
        <w:t xml:space="preserve">Эксплуатационный температурный график системы теплоснабжения 95/70 </w:t>
      </w:r>
      <w:r>
        <w:rPr>
          <w:rFonts w:ascii="Times New Roman" w:hAnsi="Times New Roman"/>
          <w:iCs/>
          <w:sz w:val="24"/>
          <w:szCs w:val="20"/>
        </w:rPr>
        <w:t>°С</w:t>
      </w:r>
      <w:r>
        <w:rPr>
          <w:rFonts w:ascii="Times New Roman" w:hAnsi="Times New Roman"/>
          <w:sz w:val="24"/>
        </w:rPr>
        <w:t xml:space="preserve"> качественного регулирования. Перечень существующего оборудования представлен в таблице 5.1. и 5.2.</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contextualSpacing w:val="false"/>
      </w:pPr>
      <w:r>
        <w:rPr>
          <w:rFonts w:ascii="Times New Roman" w:hAnsi="Times New Roman"/>
          <w:color w:val="000000"/>
          <w:sz w:val="24"/>
          <w:szCs w:val="23"/>
        </w:rPr>
        <w:t xml:space="preserve">Таблица – 5.1. </w:t>
      </w:r>
      <w:r>
        <w:rPr>
          <w:rFonts w:ascii="Times New Roman" w:hAnsi="Times New Roman"/>
          <w:sz w:val="24"/>
        </w:rPr>
        <w:t>Перечень существующего оборудования</w:t>
      </w:r>
    </w:p>
    <w:tbl>
      <w:tblPr>
        <w:jc w:val="left"/>
        <w:tblInd w:type="dxa" w:w="10"/>
        <w:tblBorders>
          <w:top w:color="00000A" w:space="0" w:sz="8" w:val="single"/>
          <w:left w:color="00000A" w:space="0" w:sz="8" w:val="single"/>
          <w:bottom w:val="none"/>
          <w:insideH w:val="none"/>
          <w:right w:color="00000A" w:space="0" w:sz="8" w:val="single"/>
          <w:insideV w:color="00000A" w:space="0" w:sz="8" w:val="single"/>
        </w:tblBorders>
        <w:tblCellMar>
          <w:top w:type="dxa" w:w="0"/>
          <w:left w:type="dxa" w:w="-10"/>
          <w:bottom w:type="dxa" w:w="0"/>
          <w:right w:type="dxa" w:w="0"/>
        </w:tblCellMar>
      </w:tblPr>
      <w:tblGrid>
        <w:gridCol w:w="1019"/>
        <w:gridCol w:w="1440"/>
        <w:gridCol w:w="2880"/>
        <w:gridCol w:w="800"/>
        <w:gridCol w:w="1900"/>
        <w:gridCol w:w="2200"/>
        <w:gridCol w:w="30"/>
      </w:tblGrid>
      <w:tr>
        <w:trPr>
          <w:trHeight w:hRule="atLeast" w:val="278"/>
          <w:cantSplit w:val="false"/>
        </w:trPr>
        <w:tc>
          <w:tcPr>
            <w:tcW w:type="dxa" w:w="1019"/>
            <w:tcBorders>
              <w:top w:color="00000A" w:space="0" w:sz="8" w:val="single"/>
              <w:left w:color="00000A" w:space="0" w:sz="8" w:val="single"/>
              <w:bottom w:val="none"/>
              <w:right w:color="00000A" w:space="0" w:sz="8" w:val="single"/>
            </w:tcBorders>
            <w:shd w:fill="auto" w:val="clear"/>
            <w:tcMar>
              <w:left w:type="dxa" w:w="-10"/>
            </w:tcMar>
            <w:vAlign w:val="bottom"/>
          </w:tcPr>
          <w:p>
            <w:pPr>
              <w:pStyle w:val="style0"/>
              <w:widowControl w:val="false"/>
              <w:spacing w:after="0" w:before="0" w:line="100" w:lineRule="atLeast"/>
              <w:contextualSpacing w:val="false"/>
              <w:jc w:val="center"/>
            </w:pPr>
            <w:r>
              <w:rPr>
                <w:rFonts w:ascii="Times New Roman" w:hAnsi="Times New Roman"/>
                <w:sz w:val="24"/>
                <w:szCs w:val="24"/>
              </w:rPr>
              <w:t>№</w:t>
            </w:r>
            <w:r>
              <w:rPr>
                <w:rFonts w:ascii="Times New Roman" w:hAnsi="Times New Roman"/>
                <w:sz w:val="24"/>
                <w:szCs w:val="24"/>
              </w:rPr>
              <w:t>,</w:t>
            </w:r>
          </w:p>
        </w:tc>
        <w:tc>
          <w:tcPr>
            <w:tcW w:type="dxa" w:w="1440"/>
            <w:vMerge w:val="restart"/>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w w:val="99"/>
                <w:sz w:val="24"/>
                <w:szCs w:val="24"/>
              </w:rPr>
              <w:t>Тип</w:t>
            </w:r>
          </w:p>
        </w:tc>
        <w:tc>
          <w:tcPr>
            <w:tcW w:type="dxa" w:w="2880"/>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sz w:val="24"/>
                <w:szCs w:val="24"/>
              </w:rPr>
              <w:t>Установленная мощность</w:t>
            </w:r>
          </w:p>
        </w:tc>
        <w:tc>
          <w:tcPr>
            <w:tcW w:type="dxa" w:w="800"/>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w w:val="99"/>
                <w:sz w:val="24"/>
                <w:szCs w:val="24"/>
              </w:rPr>
              <w:t>Год</w:t>
            </w:r>
          </w:p>
        </w:tc>
        <w:tc>
          <w:tcPr>
            <w:tcW w:type="dxa" w:w="1900"/>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sz w:val="24"/>
                <w:szCs w:val="24"/>
              </w:rPr>
              <w:t>Температурный</w:t>
            </w:r>
          </w:p>
        </w:tc>
        <w:tc>
          <w:tcPr>
            <w:tcW w:type="dxa" w:w="2200"/>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w w:val="99"/>
                <w:sz w:val="24"/>
                <w:szCs w:val="24"/>
              </w:rPr>
              <w:t>КПД по</w:t>
            </w:r>
          </w:p>
        </w:tc>
        <w:tc>
          <w:tcPr>
            <w:tcW w:type="dxa" w:w="30"/>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139"/>
          <w:cantSplit w:val="false"/>
        </w:trPr>
        <w:tc>
          <w:tcPr>
            <w:tcW w:type="dxa" w:w="1019"/>
            <w:vMerge w:val="restart"/>
            <w:tcBorders>
              <w:top w:val="none"/>
              <w:left w:color="00000A" w:space="0" w:sz="8" w:val="single"/>
              <w:bottom w:val="none"/>
              <w:right w:color="00000A" w:space="0" w:sz="8" w:val="single"/>
            </w:tcBorders>
            <w:shd w:fill="auto" w:val="clear"/>
            <w:tcMar>
              <w:left w:type="dxa" w:w="-10"/>
            </w:tcMar>
            <w:vAlign w:val="bottom"/>
          </w:tcPr>
          <w:p>
            <w:pPr>
              <w:pStyle w:val="style0"/>
              <w:widowControl w:val="false"/>
              <w:spacing w:after="0" w:before="0" w:line="100" w:lineRule="atLeast"/>
              <w:contextualSpacing w:val="false"/>
              <w:jc w:val="center"/>
            </w:pPr>
            <w:r>
              <w:rPr>
                <w:rFonts w:ascii="Times New Roman" w:hAnsi="Times New Roman"/>
                <w:sz w:val="24"/>
                <w:szCs w:val="24"/>
              </w:rPr>
              <w:t>котла</w:t>
            </w:r>
          </w:p>
        </w:tc>
        <w:tc>
          <w:tcPr>
            <w:tcW w:type="dxa" w:w="144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2"/>
                <w:szCs w:val="12"/>
              </w:rPr>
            </w:r>
          </w:p>
        </w:tc>
        <w:tc>
          <w:tcPr>
            <w:tcW w:type="dxa" w:w="2880"/>
            <w:vMerge w:val="restart"/>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w w:val="99"/>
                <w:sz w:val="24"/>
                <w:szCs w:val="24"/>
              </w:rPr>
              <w:t>котла Гкал/час</w:t>
            </w:r>
          </w:p>
        </w:tc>
        <w:tc>
          <w:tcPr>
            <w:tcW w:type="dxa" w:w="800"/>
            <w:vMerge w:val="restart"/>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sz w:val="24"/>
                <w:szCs w:val="24"/>
              </w:rPr>
              <w:t>ввода</w:t>
            </w:r>
          </w:p>
        </w:tc>
        <w:tc>
          <w:tcPr>
            <w:tcW w:type="dxa" w:w="1900"/>
            <w:vMerge w:val="restart"/>
            <w:tcBorders>
              <w:top w:val="none"/>
              <w:left w:val="none"/>
              <w:bottom w:val="none"/>
              <w:right w:color="00000A" w:space="0" w:sz="8" w:val="single"/>
            </w:tcBorders>
            <w:shd w:fill="auto" w:val="clear"/>
            <w:vAlign w:val="bottom"/>
          </w:tcPr>
          <w:p>
            <w:pPr>
              <w:pStyle w:val="style0"/>
              <w:widowControl w:val="false"/>
              <w:spacing w:after="0" w:before="0" w:line="100" w:lineRule="atLeast"/>
              <w:ind w:hanging="0" w:left="600" w:right="0"/>
              <w:contextualSpacing w:val="false"/>
            </w:pPr>
            <w:r>
              <w:rPr>
                <w:rFonts w:ascii="Times New Roman" w:hAnsi="Times New Roman"/>
                <w:sz w:val="24"/>
                <w:szCs w:val="24"/>
              </w:rPr>
              <w:t>график</w:t>
            </w:r>
          </w:p>
        </w:tc>
        <w:tc>
          <w:tcPr>
            <w:tcW w:type="dxa" w:w="2200"/>
            <w:vMerge w:val="restart"/>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w w:val="99"/>
                <w:sz w:val="24"/>
                <w:szCs w:val="24"/>
              </w:rPr>
              <w:t>режимной карте</w:t>
            </w:r>
          </w:p>
        </w:tc>
        <w:tc>
          <w:tcPr>
            <w:tcW w:type="dxa" w:w="30"/>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137"/>
          <w:cantSplit w:val="false"/>
        </w:trPr>
        <w:tc>
          <w:tcPr>
            <w:tcW w:type="dxa" w:w="1019"/>
            <w:vMerge w:val="continue"/>
            <w:tcBorders>
              <w:top w:val="none"/>
              <w:left w:color="00000A" w:space="0" w:sz="8" w:val="single"/>
              <w:bottom w:val="none"/>
              <w:right w:color="00000A" w:space="0" w:sz="8" w:val="single"/>
            </w:tcBorders>
            <w:shd w:fill="auto" w:val="clear"/>
            <w:tcMar>
              <w:left w:type="dxa" w:w="-10"/>
            </w:tcM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1440"/>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288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80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190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220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30"/>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25"/>
          <w:cantSplit w:val="false"/>
        </w:trPr>
        <w:tc>
          <w:tcPr>
            <w:tcW w:type="dxa" w:w="1019"/>
            <w:tcBorders>
              <w:top w:val="none"/>
              <w:left w:color="00000A" w:space="0" w:sz="8" w:val="single"/>
              <w:bottom w:color="00000A" w:space="0" w:sz="8" w:val="single"/>
              <w:right w:color="00000A" w:space="0" w:sz="8" w:val="single"/>
            </w:tcBorders>
            <w:shd w:fill="auto" w:val="clear"/>
            <w:tcMar>
              <w:left w:type="dxa" w:w="-10"/>
            </w:tcMar>
            <w:vAlign w:val="bottom"/>
          </w:tcPr>
          <w:p>
            <w:pPr>
              <w:pStyle w:val="style0"/>
              <w:widowControl w:val="false"/>
              <w:spacing w:after="0" w:before="0" w:line="100" w:lineRule="atLeast"/>
              <w:contextualSpacing w:val="false"/>
            </w:pPr>
            <w:r>
              <w:rPr>
                <w:rFonts w:ascii="Times New Roman" w:hAnsi="Times New Roman"/>
                <w:sz w:val="2"/>
                <w:szCs w:val="2"/>
              </w:rPr>
            </w:r>
          </w:p>
        </w:tc>
        <w:tc>
          <w:tcPr>
            <w:tcW w:type="dxa" w:w="144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c>
          <w:tcPr>
            <w:tcW w:type="dxa" w:w="288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c>
          <w:tcPr>
            <w:tcW w:type="dxa" w:w="80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c>
          <w:tcPr>
            <w:tcW w:type="dxa" w:w="190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c>
          <w:tcPr>
            <w:tcW w:type="dxa" w:w="220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c>
          <w:tcPr>
            <w:tcW w:type="dxa" w:w="30"/>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261"/>
          <w:cantSplit w:val="false"/>
        </w:trPr>
        <w:tc>
          <w:tcPr>
            <w:tcW w:type="dxa" w:w="1019"/>
            <w:tcBorders>
              <w:top w:val="none"/>
              <w:left w:color="00000A" w:space="0" w:sz="8" w:val="single"/>
              <w:bottom w:color="00000A" w:space="0" w:sz="8" w:val="single"/>
              <w:right w:color="00000A" w:space="0" w:sz="8" w:val="single"/>
            </w:tcBorders>
            <w:shd w:fill="auto" w:val="clear"/>
            <w:tcMar>
              <w:left w:type="dxa" w:w="-10"/>
            </w:tcMar>
            <w:vAlign w:val="bottom"/>
          </w:tcPr>
          <w:p>
            <w:pPr>
              <w:pStyle w:val="style0"/>
              <w:widowControl w:val="false"/>
              <w:spacing w:after="0" w:before="0" w:line="255" w:lineRule="exact"/>
              <w:contextualSpacing w:val="false"/>
              <w:jc w:val="center"/>
            </w:pPr>
            <w:r>
              <w:rPr>
                <w:rFonts w:ascii="Times New Roman" w:hAnsi="Times New Roman"/>
                <w:w w:val="99"/>
                <w:sz w:val="24"/>
                <w:szCs w:val="24"/>
              </w:rPr>
              <w:t>1</w:t>
            </w:r>
          </w:p>
        </w:tc>
        <w:tc>
          <w:tcPr>
            <w:tcW w:type="dxa" w:w="144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КВа-0,25</w:t>
            </w:r>
          </w:p>
        </w:tc>
        <w:tc>
          <w:tcPr>
            <w:tcW w:type="dxa" w:w="288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0,215</w:t>
            </w:r>
          </w:p>
        </w:tc>
        <w:tc>
          <w:tcPr>
            <w:tcW w:type="dxa" w:w="80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2006</w:t>
            </w:r>
          </w:p>
        </w:tc>
        <w:tc>
          <w:tcPr>
            <w:tcW w:type="dxa" w:w="190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95-70</w:t>
            </w:r>
          </w:p>
        </w:tc>
        <w:tc>
          <w:tcPr>
            <w:tcW w:type="dxa" w:w="220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89%</w:t>
            </w:r>
          </w:p>
        </w:tc>
        <w:tc>
          <w:tcPr>
            <w:tcW w:type="dxa" w:w="30"/>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266"/>
          <w:cantSplit w:val="false"/>
        </w:trPr>
        <w:tc>
          <w:tcPr>
            <w:tcW w:type="dxa" w:w="1019"/>
            <w:tcBorders>
              <w:top w:val="none"/>
              <w:left w:color="00000A" w:space="0" w:sz="8" w:val="single"/>
              <w:bottom w:color="00000A" w:space="0" w:sz="8" w:val="single"/>
              <w:right w:color="00000A" w:space="0" w:sz="8" w:val="single"/>
            </w:tcBorders>
            <w:shd w:fill="auto" w:val="clear"/>
            <w:tcMar>
              <w:left w:type="dxa" w:w="-10"/>
            </w:tcMar>
            <w:vAlign w:val="bottom"/>
          </w:tcPr>
          <w:p>
            <w:pPr>
              <w:pStyle w:val="style0"/>
              <w:widowControl w:val="false"/>
              <w:spacing w:after="0" w:before="0" w:line="260" w:lineRule="exact"/>
              <w:contextualSpacing w:val="false"/>
              <w:jc w:val="center"/>
            </w:pPr>
            <w:r>
              <w:rPr>
                <w:rFonts w:ascii="Times New Roman" w:hAnsi="Times New Roman"/>
                <w:w w:val="99"/>
                <w:sz w:val="24"/>
                <w:szCs w:val="24"/>
              </w:rPr>
              <w:t>2</w:t>
            </w:r>
          </w:p>
        </w:tc>
        <w:tc>
          <w:tcPr>
            <w:tcW w:type="dxa" w:w="144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КВа-0,25</w:t>
            </w:r>
          </w:p>
        </w:tc>
        <w:tc>
          <w:tcPr>
            <w:tcW w:type="dxa" w:w="288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0,215</w:t>
            </w:r>
          </w:p>
        </w:tc>
        <w:tc>
          <w:tcPr>
            <w:tcW w:type="dxa" w:w="80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2006</w:t>
            </w:r>
          </w:p>
        </w:tc>
        <w:tc>
          <w:tcPr>
            <w:tcW w:type="dxa" w:w="190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95-70</w:t>
            </w:r>
          </w:p>
        </w:tc>
        <w:tc>
          <w:tcPr>
            <w:tcW w:type="dxa" w:w="220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rPr>
              <w:t>89%</w:t>
            </w:r>
          </w:p>
        </w:tc>
        <w:tc>
          <w:tcPr>
            <w:tcW w:type="dxa" w:w="30"/>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bl>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contextualSpacing w:val="false"/>
      </w:pPr>
      <w:r>
        <w:rPr>
          <w:rFonts w:ascii="Times New Roman" w:hAnsi="Times New Roman"/>
          <w:color w:val="000000"/>
          <w:sz w:val="24"/>
          <w:szCs w:val="23"/>
        </w:rPr>
        <w:t xml:space="preserve">Таблица – 5.2. </w:t>
      </w:r>
      <w:r>
        <w:rPr>
          <w:rFonts w:ascii="Times New Roman" w:hAnsi="Times New Roman"/>
          <w:sz w:val="24"/>
        </w:rPr>
        <w:t>Перечень существующего оборудования</w:t>
      </w:r>
    </w:p>
    <w:tbl>
      <w:tblPr>
        <w:jc w:val="left"/>
        <w:tblInd w:type="dxa" w:w="10"/>
        <w:tblBorders>
          <w:top w:color="00000A" w:space="0" w:sz="8" w:val="single"/>
          <w:left w:color="00000A" w:space="0" w:sz="8" w:val="single"/>
          <w:bottom w:val="none"/>
          <w:insideH w:val="none"/>
          <w:right w:color="00000A" w:space="0" w:sz="8" w:val="single"/>
          <w:insideV w:color="00000A" w:space="0" w:sz="8" w:val="single"/>
        </w:tblBorders>
        <w:tblCellMar>
          <w:top w:type="dxa" w:w="0"/>
          <w:left w:type="dxa" w:w="-10"/>
          <w:bottom w:type="dxa" w:w="0"/>
          <w:right w:type="dxa" w:w="0"/>
        </w:tblCellMar>
      </w:tblPr>
      <w:tblGrid>
        <w:gridCol w:w="2579"/>
        <w:gridCol w:w="1420"/>
        <w:gridCol w:w="2879"/>
        <w:gridCol w:w="1520"/>
        <w:gridCol w:w="1880"/>
        <w:gridCol w:w="31"/>
      </w:tblGrid>
      <w:tr>
        <w:trPr>
          <w:trHeight w:hRule="atLeast" w:val="266"/>
          <w:cantSplit w:val="false"/>
        </w:trPr>
        <w:tc>
          <w:tcPr>
            <w:tcW w:type="dxa" w:w="2579"/>
            <w:vMerge w:val="restart"/>
            <w:tcBorders>
              <w:top w:color="00000A" w:space="0" w:sz="8" w:val="single"/>
              <w:left w:color="00000A" w:space="0" w:sz="8" w:val="single"/>
              <w:bottom w:val="none"/>
              <w:right w:color="00000A" w:space="0" w:sz="8" w:val="single"/>
            </w:tcBorders>
            <w:shd w:fill="auto" w:val="clear"/>
            <w:tcMar>
              <w:left w:type="dxa" w:w="-10"/>
            </w:tcMar>
            <w:vAlign w:val="bottom"/>
          </w:tcPr>
          <w:p>
            <w:pPr>
              <w:pStyle w:val="style0"/>
              <w:widowControl w:val="false"/>
              <w:spacing w:after="0" w:before="0" w:line="100" w:lineRule="atLeast"/>
              <w:ind w:hanging="0" w:left="720" w:right="0"/>
              <w:contextualSpacing w:val="false"/>
            </w:pPr>
            <w:r>
              <w:rPr>
                <w:rFonts w:ascii="Times New Roman" w:hAnsi="Times New Roman"/>
                <w:sz w:val="24"/>
                <w:szCs w:val="24"/>
              </w:rPr>
              <w:t>Тип насоса</w:t>
            </w:r>
          </w:p>
        </w:tc>
        <w:tc>
          <w:tcPr>
            <w:tcW w:type="dxa" w:w="1420"/>
            <w:vMerge w:val="restart"/>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w w:val="99"/>
                <w:sz w:val="24"/>
                <w:szCs w:val="24"/>
              </w:rPr>
              <w:t>Кол-во, шт.</w:t>
            </w:r>
          </w:p>
        </w:tc>
        <w:tc>
          <w:tcPr>
            <w:tcW w:type="dxa" w:w="2879"/>
            <w:tcBorders>
              <w:top w:color="00000A" w:space="0" w:sz="8" w:val="single"/>
              <w:left w:val="none"/>
              <w:bottom w:val="none"/>
              <w:right w:color="00000A" w:space="0" w:sz="8" w:val="single"/>
            </w:tcBorders>
            <w:shd w:fill="auto" w:val="clear"/>
            <w:vAlign w:val="bottom"/>
          </w:tcPr>
          <w:p>
            <w:pPr>
              <w:pStyle w:val="style0"/>
              <w:widowControl w:val="false"/>
              <w:spacing w:after="0" w:before="0" w:line="264" w:lineRule="exact"/>
              <w:ind w:hanging="0" w:left="160" w:right="0"/>
              <w:contextualSpacing w:val="false"/>
            </w:pPr>
            <w:r>
              <w:rPr>
                <w:rFonts w:ascii="Times New Roman" w:hAnsi="Times New Roman"/>
                <w:sz w:val="24"/>
                <w:szCs w:val="24"/>
              </w:rPr>
              <w:t xml:space="preserve">Производительность, </w:t>
            </w:r>
            <w:r>
              <w:rPr>
                <w:rFonts w:ascii="Times New Roman" w:hAnsi="Times New Roman"/>
                <w:i/>
                <w:iCs/>
                <w:sz w:val="24"/>
                <w:szCs w:val="24"/>
              </w:rPr>
              <w:t>V</w:t>
            </w:r>
            <w:r>
              <w:rPr>
                <w:rFonts w:ascii="Times New Roman" w:hAnsi="Times New Roman"/>
                <w:sz w:val="24"/>
                <w:szCs w:val="24"/>
              </w:rPr>
              <w:t>,</w:t>
            </w:r>
          </w:p>
        </w:tc>
        <w:tc>
          <w:tcPr>
            <w:tcW w:type="dxa" w:w="1520"/>
            <w:vMerge w:val="restart"/>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sz w:val="24"/>
                <w:szCs w:val="24"/>
              </w:rPr>
              <w:t xml:space="preserve">Напор, </w:t>
            </w:r>
            <w:r>
              <w:rPr>
                <w:rFonts w:ascii="Times New Roman" w:hAnsi="Times New Roman"/>
                <w:i/>
                <w:iCs/>
                <w:sz w:val="24"/>
                <w:szCs w:val="24"/>
              </w:rPr>
              <w:t>Н</w:t>
            </w:r>
            <w:r>
              <w:rPr>
                <w:rFonts w:ascii="Times New Roman" w:hAnsi="Times New Roman"/>
                <w:sz w:val="24"/>
                <w:szCs w:val="24"/>
              </w:rPr>
              <w:t>, м</w:t>
            </w:r>
          </w:p>
        </w:tc>
        <w:tc>
          <w:tcPr>
            <w:tcW w:type="dxa" w:w="1880"/>
            <w:vMerge w:val="restart"/>
            <w:tcBorders>
              <w:top w:color="00000A" w:space="0" w:sz="8" w:val="single"/>
              <w:left w:val="none"/>
              <w:bottom w:val="none"/>
              <w:right w:color="00000A" w:space="0" w:sz="8" w:val="single"/>
            </w:tcBorders>
            <w:shd w:fill="auto" w:val="clear"/>
            <w:vAlign w:val="bottom"/>
          </w:tcPr>
          <w:p>
            <w:pPr>
              <w:pStyle w:val="style0"/>
              <w:widowControl w:val="false"/>
              <w:spacing w:after="0" w:before="0" w:line="100" w:lineRule="atLeast"/>
              <w:contextualSpacing w:val="false"/>
              <w:jc w:val="center"/>
            </w:pPr>
            <w:r>
              <w:rPr>
                <w:rFonts w:ascii="Times New Roman" w:hAnsi="Times New Roman"/>
                <w:w w:val="99"/>
                <w:sz w:val="24"/>
                <w:szCs w:val="24"/>
              </w:rPr>
              <w:t>Мощность, кВт</w:t>
            </w:r>
          </w:p>
        </w:tc>
        <w:tc>
          <w:tcPr>
            <w:tcW w:type="dxa" w:w="31"/>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137"/>
          <w:cantSplit w:val="false"/>
        </w:trPr>
        <w:tc>
          <w:tcPr>
            <w:tcW w:type="dxa" w:w="2579"/>
            <w:vMerge w:val="continue"/>
            <w:tcBorders>
              <w:top w:val="none"/>
              <w:left w:color="00000A" w:space="0" w:sz="8" w:val="single"/>
              <w:bottom w:val="none"/>
              <w:right w:color="00000A" w:space="0" w:sz="8" w:val="single"/>
            </w:tcBorders>
            <w:shd w:fill="auto" w:val="clear"/>
            <w:tcMar>
              <w:left w:type="dxa" w:w="-10"/>
            </w:tcM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142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2879"/>
            <w:vMerge w:val="restart"/>
            <w:tcBorders>
              <w:top w:val="none"/>
              <w:left w:val="none"/>
              <w:bottom w:val="none"/>
              <w:right w:color="00000A" w:space="0" w:sz="8" w:val="single"/>
            </w:tcBorders>
            <w:shd w:fill="auto" w:val="clear"/>
            <w:vAlign w:val="bottom"/>
          </w:tcPr>
          <w:p>
            <w:pPr>
              <w:pStyle w:val="style0"/>
              <w:widowControl w:val="false"/>
              <w:spacing w:after="0" w:before="0" w:line="285" w:lineRule="exact"/>
              <w:contextualSpacing w:val="false"/>
              <w:jc w:val="center"/>
            </w:pPr>
            <w:r>
              <w:rPr>
                <w:rFonts w:ascii="Times New Roman" w:hAnsi="Times New Roman"/>
                <w:w w:val="94"/>
                <w:sz w:val="24"/>
                <w:szCs w:val="24"/>
              </w:rPr>
              <w:t>м</w:t>
            </w:r>
            <w:r>
              <w:rPr>
                <w:rFonts w:ascii="Times New Roman" w:hAnsi="Times New Roman"/>
                <w:w w:val="94"/>
                <w:sz w:val="32"/>
                <w:szCs w:val="32"/>
                <w:vertAlign w:val="superscript"/>
              </w:rPr>
              <w:t>3</w:t>
            </w:r>
            <w:r>
              <w:rPr>
                <w:rFonts w:ascii="Times New Roman" w:hAnsi="Times New Roman"/>
                <w:w w:val="94"/>
                <w:sz w:val="24"/>
                <w:szCs w:val="24"/>
              </w:rPr>
              <w:t>/ч</w:t>
            </w:r>
          </w:p>
        </w:tc>
        <w:tc>
          <w:tcPr>
            <w:tcW w:type="dxa" w:w="152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1880"/>
            <w:vMerge w:val="continue"/>
            <w:tcBorders>
              <w:top w:val="none"/>
              <w:left w:val="none"/>
              <w:bottom w:val="non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1"/>
                <w:szCs w:val="11"/>
              </w:rPr>
            </w:r>
          </w:p>
        </w:tc>
        <w:tc>
          <w:tcPr>
            <w:tcW w:type="dxa" w:w="31"/>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149"/>
          <w:cantSplit w:val="false"/>
        </w:trPr>
        <w:tc>
          <w:tcPr>
            <w:tcW w:type="dxa" w:w="2579"/>
            <w:tcBorders>
              <w:top w:val="none"/>
              <w:left w:color="00000A" w:space="0" w:sz="8" w:val="single"/>
              <w:bottom w:color="00000A" w:space="0" w:sz="8" w:val="single"/>
              <w:right w:color="00000A" w:space="0" w:sz="8" w:val="single"/>
            </w:tcBorders>
            <w:shd w:fill="auto" w:val="clear"/>
            <w:tcMar>
              <w:left w:type="dxa" w:w="-10"/>
            </w:tcMar>
            <w:vAlign w:val="bottom"/>
          </w:tcPr>
          <w:p>
            <w:pPr>
              <w:pStyle w:val="style0"/>
              <w:widowControl w:val="false"/>
              <w:spacing w:after="0" w:before="0" w:line="100" w:lineRule="atLeast"/>
              <w:contextualSpacing w:val="false"/>
            </w:pPr>
            <w:r>
              <w:rPr>
                <w:rFonts w:ascii="Times New Roman" w:hAnsi="Times New Roman"/>
                <w:sz w:val="12"/>
                <w:szCs w:val="12"/>
              </w:rPr>
            </w:r>
          </w:p>
        </w:tc>
        <w:tc>
          <w:tcPr>
            <w:tcW w:type="dxa" w:w="142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2"/>
                <w:szCs w:val="12"/>
              </w:rPr>
            </w:r>
          </w:p>
        </w:tc>
        <w:tc>
          <w:tcPr>
            <w:tcW w:type="dxa" w:w="2879"/>
            <w:vMerge w:val="continue"/>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2"/>
                <w:szCs w:val="12"/>
              </w:rPr>
            </w:r>
          </w:p>
        </w:tc>
        <w:tc>
          <w:tcPr>
            <w:tcW w:type="dxa" w:w="152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2"/>
                <w:szCs w:val="12"/>
              </w:rPr>
            </w:r>
          </w:p>
        </w:tc>
        <w:tc>
          <w:tcPr>
            <w:tcW w:type="dxa" w:w="1880"/>
            <w:tcBorders>
              <w:top w:val="none"/>
              <w:left w:val="none"/>
              <w:bottom w:color="00000A" w:space="0" w:sz="8" w:val="single"/>
              <w:right w:color="00000A" w:space="0" w:sz="8" w:val="single"/>
            </w:tcBorders>
            <w:shd w:fill="auto" w:val="clear"/>
            <w:vAlign w:val="bottom"/>
          </w:tcPr>
          <w:p>
            <w:pPr>
              <w:pStyle w:val="style0"/>
              <w:widowControl w:val="false"/>
              <w:spacing w:after="0" w:before="0" w:line="100" w:lineRule="atLeast"/>
              <w:contextualSpacing w:val="false"/>
            </w:pPr>
            <w:r>
              <w:rPr>
                <w:rFonts w:ascii="Times New Roman" w:hAnsi="Times New Roman"/>
                <w:sz w:val="12"/>
                <w:szCs w:val="12"/>
              </w:rPr>
            </w:r>
          </w:p>
        </w:tc>
        <w:tc>
          <w:tcPr>
            <w:tcW w:type="dxa" w:w="31"/>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261"/>
          <w:cantSplit w:val="false"/>
        </w:trPr>
        <w:tc>
          <w:tcPr>
            <w:tcW w:type="dxa" w:w="2579"/>
            <w:tcBorders>
              <w:top w:val="none"/>
              <w:left w:color="00000A" w:space="0" w:sz="8" w:val="single"/>
              <w:bottom w:color="00000A" w:space="0" w:sz="8" w:val="single"/>
              <w:right w:color="00000A" w:space="0" w:sz="8" w:val="single"/>
            </w:tcBorders>
            <w:shd w:fill="auto" w:val="clear"/>
            <w:tcMar>
              <w:left w:type="dxa" w:w="-10"/>
            </w:tcMar>
            <w:vAlign w:val="center"/>
          </w:tcPr>
          <w:p>
            <w:pPr>
              <w:pStyle w:val="style0"/>
              <w:widowControl w:val="false"/>
              <w:spacing w:after="0" w:before="0" w:line="255" w:lineRule="exact"/>
              <w:ind w:hanging="0" w:left="120" w:right="0"/>
              <w:contextualSpacing w:val="false"/>
            </w:pPr>
            <w:r>
              <w:rPr>
                <w:rFonts w:ascii="Times New Roman" w:hAnsi="Times New Roman"/>
                <w:sz w:val="24"/>
                <w:szCs w:val="24"/>
                <w:lang w:val="en-US"/>
              </w:rPr>
              <w:t>DAB BPH 180/340 65T</w:t>
            </w:r>
          </w:p>
        </w:tc>
        <w:tc>
          <w:tcPr>
            <w:tcW w:type="dxa" w:w="142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lang w:val="en-US"/>
              </w:rPr>
              <w:t>3</w:t>
            </w:r>
          </w:p>
        </w:tc>
        <w:tc>
          <w:tcPr>
            <w:tcW w:type="dxa" w:w="2879"/>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lang w:val="en-US"/>
              </w:rPr>
              <w:t>250</w:t>
            </w:r>
          </w:p>
        </w:tc>
        <w:tc>
          <w:tcPr>
            <w:tcW w:type="dxa" w:w="152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lang w:val="en-US"/>
              </w:rPr>
              <w:t>11</w:t>
            </w:r>
          </w:p>
        </w:tc>
        <w:tc>
          <w:tcPr>
            <w:tcW w:type="dxa" w:w="1880"/>
            <w:tcBorders>
              <w:top w:val="none"/>
              <w:left w:val="none"/>
              <w:bottom w:color="00000A" w:space="0" w:sz="8" w:val="single"/>
              <w:right w:color="00000A" w:space="0" w:sz="8" w:val="single"/>
            </w:tcBorders>
            <w:shd w:fill="auto" w:val="clear"/>
            <w:vAlign w:val="center"/>
          </w:tcPr>
          <w:p>
            <w:pPr>
              <w:pStyle w:val="style0"/>
              <w:widowControl w:val="false"/>
              <w:spacing w:after="0" w:before="0" w:line="255" w:lineRule="exact"/>
              <w:contextualSpacing w:val="false"/>
              <w:jc w:val="center"/>
            </w:pPr>
            <w:r>
              <w:rPr>
                <w:rFonts w:ascii="Times New Roman" w:hAnsi="Times New Roman"/>
                <w:sz w:val="24"/>
                <w:szCs w:val="24"/>
                <w:lang w:val="en-US"/>
              </w:rPr>
              <w:t>6</w:t>
            </w:r>
            <w:r>
              <w:rPr>
                <w:rFonts w:ascii="Times New Roman" w:hAnsi="Times New Roman"/>
                <w:sz w:val="24"/>
                <w:szCs w:val="24"/>
              </w:rPr>
              <w:t>,</w:t>
            </w:r>
            <w:r>
              <w:rPr>
                <w:rFonts w:ascii="Times New Roman" w:hAnsi="Times New Roman"/>
                <w:sz w:val="24"/>
                <w:szCs w:val="24"/>
                <w:lang w:val="en-US"/>
              </w:rPr>
              <w:t>0</w:t>
            </w:r>
          </w:p>
        </w:tc>
        <w:tc>
          <w:tcPr>
            <w:tcW w:type="dxa" w:w="31"/>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r>
        <w:trPr>
          <w:trHeight w:hRule="atLeast" w:val="266"/>
          <w:cantSplit w:val="false"/>
        </w:trPr>
        <w:tc>
          <w:tcPr>
            <w:tcW w:type="dxa" w:w="2579"/>
            <w:tcBorders>
              <w:top w:val="none"/>
              <w:left w:color="00000A" w:space="0" w:sz="8" w:val="single"/>
              <w:bottom w:color="00000A" w:space="0" w:sz="8" w:val="single"/>
              <w:right w:color="00000A" w:space="0" w:sz="8" w:val="single"/>
            </w:tcBorders>
            <w:shd w:fill="auto" w:val="clear"/>
            <w:tcMar>
              <w:left w:type="dxa" w:w="-10"/>
            </w:tcMar>
            <w:vAlign w:val="center"/>
          </w:tcPr>
          <w:p>
            <w:pPr>
              <w:pStyle w:val="style0"/>
              <w:widowControl w:val="false"/>
              <w:spacing w:after="0" w:before="0" w:line="260" w:lineRule="exact"/>
              <w:ind w:hanging="0" w:left="120" w:right="0"/>
              <w:contextualSpacing w:val="false"/>
            </w:pPr>
            <w:r>
              <w:rPr>
                <w:rFonts w:ascii="Times New Roman" w:hAnsi="Times New Roman"/>
                <w:b w:val="false"/>
                <w:sz w:val="24"/>
                <w:lang w:val="en-US"/>
              </w:rPr>
              <w:t>DAB KPS 30/16 M</w:t>
            </w:r>
          </w:p>
        </w:tc>
        <w:tc>
          <w:tcPr>
            <w:tcW w:type="dxa" w:w="1420"/>
            <w:tcBorders>
              <w:top w:val="none"/>
              <w:left w:val="none"/>
              <w:bottom w:color="00000A" w:space="0" w:sz="8" w:val="single"/>
              <w:right w:color="00000A" w:space="0" w:sz="8" w:val="single"/>
            </w:tcBorders>
            <w:shd w:fill="auto" w:val="clear"/>
            <w:vAlign w:val="center"/>
          </w:tcPr>
          <w:p>
            <w:pPr>
              <w:pStyle w:val="style0"/>
              <w:widowControl w:val="false"/>
              <w:spacing w:after="0" w:before="0" w:line="260" w:lineRule="exact"/>
              <w:contextualSpacing w:val="false"/>
              <w:jc w:val="center"/>
            </w:pPr>
            <w:r>
              <w:rPr>
                <w:rFonts w:ascii="Times New Roman" w:hAnsi="Times New Roman"/>
                <w:sz w:val="24"/>
                <w:szCs w:val="24"/>
                <w:lang w:val="en-US"/>
              </w:rPr>
              <w:t>1</w:t>
            </w:r>
          </w:p>
        </w:tc>
        <w:tc>
          <w:tcPr>
            <w:tcW w:type="dxa" w:w="2879"/>
            <w:tcBorders>
              <w:top w:val="none"/>
              <w:left w:val="none"/>
              <w:bottom w:color="00000A" w:space="0" w:sz="8" w:val="single"/>
              <w:right w:color="00000A" w:space="0" w:sz="8" w:val="single"/>
            </w:tcBorders>
            <w:shd w:fill="auto" w:val="clear"/>
            <w:vAlign w:val="center"/>
          </w:tcPr>
          <w:p>
            <w:pPr>
              <w:pStyle w:val="style0"/>
              <w:widowControl w:val="false"/>
              <w:spacing w:after="0" w:before="0" w:line="260" w:lineRule="exact"/>
              <w:contextualSpacing w:val="false"/>
              <w:jc w:val="center"/>
            </w:pPr>
            <w:r>
              <w:rPr>
                <w:rFonts w:ascii="Times New Roman" w:hAnsi="Times New Roman"/>
                <w:sz w:val="24"/>
                <w:szCs w:val="24"/>
                <w:lang w:val="en-US"/>
              </w:rPr>
              <w:t>2.16</w:t>
            </w:r>
          </w:p>
        </w:tc>
        <w:tc>
          <w:tcPr>
            <w:tcW w:type="dxa" w:w="1520"/>
            <w:tcBorders>
              <w:top w:val="none"/>
              <w:left w:val="none"/>
              <w:bottom w:color="00000A" w:space="0" w:sz="8" w:val="single"/>
              <w:right w:color="00000A" w:space="0" w:sz="8" w:val="single"/>
            </w:tcBorders>
            <w:shd w:fill="auto" w:val="clear"/>
            <w:vAlign w:val="center"/>
          </w:tcPr>
          <w:p>
            <w:pPr>
              <w:pStyle w:val="style0"/>
              <w:widowControl w:val="false"/>
              <w:spacing w:after="0" w:before="0" w:line="260" w:lineRule="exact"/>
              <w:contextualSpacing w:val="false"/>
              <w:jc w:val="center"/>
            </w:pPr>
            <w:r>
              <w:rPr>
                <w:rFonts w:ascii="Times New Roman" w:hAnsi="Times New Roman"/>
                <w:sz w:val="24"/>
                <w:szCs w:val="24"/>
              </w:rPr>
              <w:t>7</w:t>
            </w:r>
          </w:p>
        </w:tc>
        <w:tc>
          <w:tcPr>
            <w:tcW w:type="dxa" w:w="1880"/>
            <w:tcBorders>
              <w:top w:val="none"/>
              <w:left w:val="none"/>
              <w:bottom w:color="00000A" w:space="0" w:sz="8" w:val="single"/>
              <w:right w:color="00000A" w:space="0" w:sz="8" w:val="single"/>
            </w:tcBorders>
            <w:shd w:fill="auto" w:val="clear"/>
            <w:vAlign w:val="center"/>
          </w:tcPr>
          <w:p>
            <w:pPr>
              <w:pStyle w:val="style0"/>
              <w:widowControl w:val="false"/>
              <w:spacing w:after="0" w:before="0" w:line="260" w:lineRule="exact"/>
              <w:contextualSpacing w:val="false"/>
              <w:jc w:val="center"/>
            </w:pPr>
            <w:r>
              <w:rPr>
                <w:rFonts w:ascii="Times New Roman" w:hAnsi="Times New Roman"/>
                <w:sz w:val="24"/>
                <w:szCs w:val="24"/>
              </w:rPr>
              <w:t>0,47</w:t>
            </w:r>
          </w:p>
        </w:tc>
        <w:tc>
          <w:tcPr>
            <w:tcW w:type="dxa" w:w="31"/>
            <w:tcBorders>
              <w:top w:val="none"/>
              <w:left w:val="none"/>
              <w:bottom w:val="none"/>
              <w:right w:val="none"/>
            </w:tcBorders>
            <w:shd w:fill="auto" w:val="clear"/>
            <w:vAlign w:val="bottom"/>
          </w:tcPr>
          <w:p>
            <w:pPr>
              <w:pStyle w:val="style0"/>
              <w:widowControl w:val="false"/>
              <w:spacing w:after="0" w:before="0" w:line="100" w:lineRule="atLeast"/>
              <w:contextualSpacing w:val="false"/>
            </w:pPr>
            <w:r>
              <w:rPr>
                <w:rFonts w:ascii="Times New Roman" w:hAnsi="Times New Roman"/>
                <w:sz w:val="2"/>
                <w:szCs w:val="2"/>
              </w:rPr>
            </w:r>
          </w:p>
        </w:tc>
      </w:tr>
    </w:tbl>
    <w:p>
      <w:pPr>
        <w:pStyle w:val="style0"/>
        <w:spacing w:after="0" w:before="0" w:line="100" w:lineRule="atLeast"/>
        <w:ind w:firstLine="709" w:left="0" w:right="0"/>
        <w:contextualSpacing w:val="false"/>
        <w:jc w:val="both"/>
      </w:pPr>
      <w:r>
        <w:rPr>
          <w:rFonts w:ascii="Times New Roman" w:hAnsi="Times New Roman"/>
          <w:sz w:val="24"/>
        </w:rPr>
      </w:r>
    </w:p>
    <w:p>
      <w:pPr>
        <w:pStyle w:val="style0"/>
        <w:spacing w:after="0" w:before="0" w:line="100" w:lineRule="atLeast"/>
        <w:ind w:firstLine="709" w:left="0" w:right="0"/>
        <w:contextualSpacing w:val="false"/>
      </w:pPr>
      <w:r>
        <w:rPr>
          <w:rFonts w:ascii="Times New Roman" w:hAnsi="Times New Roman"/>
          <w:b/>
          <w:bCs/>
          <w:sz w:val="24"/>
          <w:szCs w:val="24"/>
        </w:rPr>
      </w:r>
    </w:p>
    <w:p>
      <w:pPr>
        <w:pStyle w:val="style0"/>
        <w:spacing w:after="0" w:before="0" w:line="100" w:lineRule="atLeast"/>
        <w:ind w:firstLine="709" w:left="0" w:right="0"/>
        <w:contextualSpacing w:val="false"/>
      </w:pPr>
      <w:r>
        <w:rPr>
          <w:rFonts w:ascii="Times New Roman" w:hAnsi="Times New Roman"/>
          <w:b/>
          <w:bCs/>
          <w:sz w:val="24"/>
          <w:szCs w:val="24"/>
        </w:rPr>
      </w:r>
    </w:p>
    <w:p>
      <w:pPr>
        <w:pStyle w:val="style1"/>
        <w:spacing w:after="0" w:before="0"/>
        <w:ind w:firstLine="709" w:left="0" w:right="0"/>
        <w:contextualSpacing w:val="false"/>
        <w:jc w:val="both"/>
      </w:pPr>
      <w:bookmarkStart w:id="64" w:name="__RefHeading__3242_1577988068"/>
      <w:bookmarkStart w:id="65" w:name="_Toc445886207"/>
      <w:bookmarkEnd w:id="64"/>
      <w:r>
        <w:rPr>
          <w:rFonts w:ascii="Times New Roman" w:hAnsi="Times New Roman"/>
          <w:bCs w:val="false"/>
          <w:color w:val="00000A"/>
          <w:sz w:val="24"/>
          <w:szCs w:val="24"/>
        </w:rPr>
        <w:t xml:space="preserve">6. </w:t>
      </w:r>
      <w:r>
        <w:rPr>
          <w:rFonts w:ascii="Times New Roman" w:cs="Times New Roman" w:hAnsi="Times New Roman"/>
          <w:bCs w:val="false"/>
          <w:color w:val="00000A"/>
          <w:sz w:val="24"/>
          <w:szCs w:val="24"/>
        </w:rPr>
        <w:t>Предложения по строительству, реконструкции и техническому перевооружению тепловых сетей и сооружений на них</w:t>
      </w:r>
      <w:bookmarkEnd w:id="65"/>
      <w:r>
        <w:rPr>
          <w:rFonts w:ascii="Times New Roman" w:cs="Times New Roman" w:hAnsi="Times New Roman"/>
          <w:bCs w:val="false"/>
          <w:color w:val="00000A"/>
          <w:sz w:val="24"/>
          <w:szCs w:val="24"/>
        </w:rPr>
        <w:t xml:space="preserve"> </w:t>
      </w:r>
    </w:p>
    <w:p>
      <w:pPr>
        <w:pStyle w:val="style1"/>
        <w:spacing w:after="0" w:before="0"/>
        <w:ind w:firstLine="709" w:left="0" w:right="0"/>
        <w:contextualSpacing w:val="false"/>
      </w:pPr>
      <w:bookmarkStart w:id="66" w:name="__RefHeading__3244_1577988068"/>
      <w:bookmarkStart w:id="67" w:name="_Toc445886208"/>
      <w:bookmarkEnd w:id="66"/>
      <w:bookmarkEnd w:id="67"/>
      <w:r>
        <w:rPr>
          <w:rFonts w:ascii="Times New Roman" w:cs="Times New Roman" w:hAnsi="Times New Roman"/>
          <w:bCs w:val="false"/>
          <w:color w:val="00000A"/>
          <w:sz w:val="24"/>
          <w:szCs w:val="24"/>
        </w:rPr>
        <w:t>6.1 Общие положения</w:t>
      </w:r>
    </w:p>
    <w:p>
      <w:pPr>
        <w:pStyle w:val="style0"/>
        <w:widowControl w:val="false"/>
        <w:spacing w:after="0" w:before="0"/>
        <w:ind w:firstLine="709" w:left="0" w:right="0"/>
        <w:contextualSpacing w:val="false"/>
      </w:pPr>
      <w:r>
        <w:rPr>
          <w:rFonts w:ascii="Times New Roman" w:cs="Times New Roman" w:hAnsi="Times New Roman"/>
          <w:b/>
          <w:bCs/>
          <w:color w:val="000000"/>
          <w:sz w:val="24"/>
          <w:szCs w:val="24"/>
        </w:rPr>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Предложения по строительству и реконструкции тепловых сетей и сооружений на них разрабатываются в соответствии с подпунктом «д» пункта 4, пунктом 11 и пунктом 43 Требований к схемам теплоснабжения.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В результате разработки в соответствии с пунктом 10 Требований к схеме теплоснабжения должны быть решены следующие задачи: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 </w:t>
      </w:r>
      <w:r>
        <w:rPr>
          <w:rFonts w:ascii="Times New Roman" w:hAnsi="Times New Roman"/>
          <w:color w:val="000000"/>
          <w:sz w:val="24"/>
          <w:szCs w:val="23"/>
        </w:rPr>
        <w:t xml:space="preserve">обоснование предложений по новому строительству или реконструкции тепловых сетей для повышения эффективности функционирования системы теплоснабжения;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 </w:t>
      </w:r>
      <w:r>
        <w:rPr>
          <w:rFonts w:ascii="Times New Roman" w:hAnsi="Times New Roman"/>
          <w:color w:val="000000"/>
          <w:sz w:val="24"/>
          <w:szCs w:val="23"/>
        </w:rPr>
        <w:t xml:space="preserve">обоснование предложений по реконструкции тепловых сетей с уменьшением диаметра трубопроводов для повышения эффективности функционирования системы теплоснабжения; </w:t>
      </w:r>
    </w:p>
    <w:p>
      <w:pPr>
        <w:pStyle w:val="style0"/>
        <w:widowControl w:val="false"/>
        <w:spacing w:after="0" w:before="0"/>
        <w:ind w:firstLine="709" w:left="0" w:right="0"/>
        <w:contextualSpacing w:val="false"/>
        <w:jc w:val="both"/>
      </w:pPr>
      <w:r>
        <w:rPr>
          <w:rFonts w:ascii="Times New Roman" w:hAnsi="Times New Roman"/>
          <w:color w:val="000000"/>
          <w:sz w:val="24"/>
          <w:szCs w:val="23"/>
        </w:rPr>
        <w:t xml:space="preserve">– </w:t>
      </w:r>
      <w:r>
        <w:rPr>
          <w:rFonts w:ascii="Times New Roman" w:hAnsi="Times New Roman"/>
          <w:color w:val="000000"/>
          <w:sz w:val="24"/>
          <w:szCs w:val="23"/>
        </w:rPr>
        <w:t>обоснование предложений по реконструкции тепловых сетей, подлежащих замене в связи с исчерпанием эксплуатационного ресурса.</w:t>
      </w:r>
    </w:p>
    <w:p>
      <w:pPr>
        <w:pStyle w:val="style0"/>
        <w:widowControl w:val="false"/>
        <w:spacing w:after="0" w:before="0"/>
        <w:ind w:firstLine="709" w:left="0" w:right="0"/>
        <w:contextualSpacing w:val="false"/>
      </w:pPr>
      <w:r>
        <w:rPr>
          <w:rFonts w:ascii="Times New Roman" w:hAnsi="Times New Roman"/>
          <w:color w:val="000000"/>
          <w:sz w:val="24"/>
          <w:szCs w:val="23"/>
        </w:rPr>
      </w:r>
    </w:p>
    <w:p>
      <w:pPr>
        <w:pStyle w:val="style1"/>
        <w:spacing w:after="0" w:before="0"/>
        <w:ind w:firstLine="709" w:left="0" w:right="0"/>
        <w:contextualSpacing w:val="false"/>
        <w:jc w:val="both"/>
      </w:pPr>
      <w:bookmarkStart w:id="68" w:name="__RefHeading__3246_1577988068"/>
      <w:bookmarkStart w:id="69" w:name="_Toc445886209"/>
      <w:bookmarkEnd w:id="68"/>
      <w:bookmarkEnd w:id="69"/>
      <w:r>
        <w:rPr>
          <w:rFonts w:ascii="Times New Roman" w:hAnsi="Times New Roman"/>
          <w:bCs w:val="false"/>
          <w:color w:val="00000A"/>
          <w:sz w:val="24"/>
          <w:szCs w:val="24"/>
        </w:rPr>
        <w:t>6.2 Структура предложений и проектов по теплоснабжению объектов перспективной застройки</w:t>
      </w:r>
    </w:p>
    <w:p>
      <w:pPr>
        <w:pStyle w:val="style1"/>
        <w:spacing w:after="0" w:before="0"/>
        <w:ind w:firstLine="709" w:left="0" w:right="0"/>
        <w:contextualSpacing w:val="false"/>
      </w:pPr>
      <w:bookmarkStart w:id="70" w:name="__RefHeading__3248_1577988068"/>
      <w:bookmarkStart w:id="71" w:name="_Toc445886210"/>
      <w:bookmarkEnd w:id="70"/>
      <w:bookmarkEnd w:id="71"/>
      <w:r>
        <w:rPr>
          <w:rFonts w:ascii="Times New Roman" w:hAnsi="Times New Roman"/>
          <w:bCs w:val="false"/>
          <w:color w:val="00000A"/>
          <w:sz w:val="24"/>
          <w:szCs w:val="24"/>
        </w:rPr>
        <w:t>6.2.1 Структура предложений</w:t>
      </w:r>
    </w:p>
    <w:p>
      <w:pPr>
        <w:pStyle w:val="style0"/>
        <w:widowControl w:val="false"/>
        <w:spacing w:after="0" w:before="0"/>
        <w:ind w:firstLine="709" w:left="0" w:right="0"/>
        <w:contextualSpacing w:val="false"/>
      </w:pPr>
      <w:r>
        <w:rPr>
          <w:rFonts w:ascii="Times New Roman" w:hAnsi="Times New Roman"/>
          <w:sz w:val="24"/>
          <w:szCs w:val="24"/>
        </w:rPr>
      </w:r>
    </w:p>
    <w:p>
      <w:pPr>
        <w:pStyle w:val="style0"/>
        <w:spacing w:after="0" w:before="0" w:line="100" w:lineRule="atLeast"/>
        <w:ind w:firstLine="709" w:left="0" w:right="0"/>
        <w:contextualSpacing w:val="false"/>
        <w:jc w:val="both"/>
      </w:pPr>
      <w:r>
        <w:rPr>
          <w:rFonts w:ascii="Times New Roman" w:hAnsi="Times New Roman"/>
          <w:color w:val="000000"/>
          <w:sz w:val="24"/>
          <w:szCs w:val="24"/>
        </w:rPr>
        <w:t xml:space="preserve">Предложения по реконструкции тепловых сетей сформированы в проекте развития схемы теплоснабжения </w:t>
      </w:r>
      <w:r>
        <w:rPr>
          <w:rFonts w:ascii="Times New Roman" w:hAnsi="Times New Roman"/>
          <w:sz w:val="24"/>
          <w:szCs w:val="24"/>
        </w:rPr>
        <w:t>п. Дубитель</w:t>
      </w:r>
      <w:r>
        <w:rPr>
          <w:rFonts w:ascii="Times New Roman" w:hAnsi="Times New Roman"/>
          <w:color w:val="000000"/>
          <w:sz w:val="24"/>
          <w:szCs w:val="24"/>
        </w:rPr>
        <w:t xml:space="preserve">. В связи с этим подробное описание проекта, которое  направлено на обеспечение теплоснабжения новых потребителей по существующим и вновь 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 </w:t>
      </w:r>
      <w:r>
        <w:rPr>
          <w:rFonts w:ascii="Times New Roman" w:hAnsi="Times New Roman"/>
          <w:sz w:val="24"/>
          <w:szCs w:val="24"/>
        </w:rPr>
        <w:t>Более детальная и подробная классификация групп проектов представлена ниже.</w:t>
      </w:r>
    </w:p>
    <w:p>
      <w:pPr>
        <w:pStyle w:val="style0"/>
        <w:spacing w:after="0" w:before="0" w:line="100" w:lineRule="atLeast"/>
        <w:ind w:firstLine="709" w:left="0" w:right="0"/>
        <w:contextualSpacing w:val="false"/>
        <w:jc w:val="both"/>
      </w:pPr>
      <w:r>
        <w:rPr>
          <w:rFonts w:ascii="Times New Roman" w:hAnsi="Times New Roman"/>
          <w:sz w:val="24"/>
          <w:szCs w:val="24"/>
        </w:rPr>
      </w:r>
    </w:p>
    <w:p>
      <w:pPr>
        <w:pStyle w:val="style1"/>
        <w:spacing w:after="0" w:before="0"/>
        <w:ind w:firstLine="709" w:left="0" w:right="0"/>
        <w:contextualSpacing w:val="false"/>
        <w:jc w:val="both"/>
      </w:pPr>
      <w:bookmarkStart w:id="72" w:name="__RefHeading__3250_1577988068"/>
      <w:bookmarkStart w:id="73" w:name="_Toc445886211"/>
      <w:bookmarkEnd w:id="72"/>
      <w:bookmarkEnd w:id="73"/>
      <w:r>
        <w:rPr>
          <w:rFonts w:ascii="Times New Roman" w:hAnsi="Times New Roman"/>
          <w:bCs w:val="false"/>
          <w:color w:val="00000A"/>
          <w:sz w:val="24"/>
          <w:szCs w:val="24"/>
        </w:rPr>
        <w:t>6.2.2 Предложение по новому строительству, реконструкции и техническому перевооружению тепловых сетей для обеспечения перспективной нагрузки</w:t>
      </w:r>
    </w:p>
    <w:p>
      <w:pPr>
        <w:pStyle w:val="style0"/>
        <w:spacing w:after="0" w:before="0" w:line="100" w:lineRule="atLeast"/>
        <w:ind w:firstLine="709" w:left="0" w:right="0"/>
        <w:contextualSpacing w:val="false"/>
      </w:pPr>
      <w:r>
        <w:rPr>
          <w:rFonts w:ascii="Times New Roman" w:hAnsi="Times New Roman"/>
          <w:sz w:val="24"/>
          <w:szCs w:val="24"/>
        </w:rPr>
      </w:r>
    </w:p>
    <w:p>
      <w:pPr>
        <w:pStyle w:val="style0"/>
        <w:spacing w:after="0" w:before="0" w:line="100" w:lineRule="atLeast"/>
        <w:ind w:firstLine="709" w:left="0" w:right="0"/>
        <w:contextualSpacing w:val="false"/>
        <w:jc w:val="both"/>
      </w:pPr>
      <w:r>
        <w:rPr>
          <w:rFonts w:ascii="Times New Roman" w:hAnsi="Times New Roman"/>
          <w:sz w:val="24"/>
          <w:szCs w:val="24"/>
        </w:rPr>
        <w:t xml:space="preserve">Предложения по реконструкции и техническому перевооружению тепловых сетей сформирована в группу: </w:t>
      </w:r>
    </w:p>
    <w:p>
      <w:pPr>
        <w:pStyle w:val="style0"/>
        <w:spacing w:after="0" w:before="0" w:line="100" w:lineRule="atLeast"/>
        <w:ind w:firstLine="709" w:left="0" w:right="0"/>
        <w:contextualSpacing w:val="false"/>
        <w:jc w:val="both"/>
      </w:pPr>
      <w:r>
        <w:rPr>
          <w:rFonts w:ascii="Times New Roman" w:hAnsi="Times New Roman"/>
          <w:sz w:val="24"/>
          <w:szCs w:val="24"/>
        </w:rPr>
        <w:t xml:space="preserve">– </w:t>
      </w:r>
      <w:r>
        <w:rPr>
          <w:rFonts w:ascii="Times New Roman" w:hAnsi="Times New Roman"/>
          <w:sz w:val="24"/>
          <w:szCs w:val="24"/>
        </w:rPr>
        <w:t xml:space="preserve">реконструкция тепловых сетей с уменьшением диаметра теплопроводов для обеспечения надежной работы сетей до 2030 года. </w:t>
      </w:r>
    </w:p>
    <w:p>
      <w:pPr>
        <w:pStyle w:val="style0"/>
        <w:spacing w:after="0" w:before="0" w:line="100" w:lineRule="atLeast"/>
        <w:ind w:firstLine="709" w:left="0" w:right="0"/>
        <w:contextualSpacing w:val="false"/>
        <w:jc w:val="both"/>
      </w:pPr>
      <w:r>
        <w:rPr>
          <w:rFonts w:ascii="Times New Roman" w:hAnsi="Times New Roman"/>
          <w:sz w:val="24"/>
          <w:szCs w:val="24"/>
        </w:rPr>
        <w:t xml:space="preserve">Проект «Реконструкция тепловых сетей для обеспечения надежной работы теплопроводов п. Дубитель на период до 2030 г.» охватывает комплекс мероприятий, направленных на реализацию задач по обеспечению бесперебойной работы на период до 2030 г. </w:t>
      </w:r>
    </w:p>
    <w:p>
      <w:pPr>
        <w:pStyle w:val="style0"/>
        <w:spacing w:after="0" w:before="0" w:line="100" w:lineRule="atLeast"/>
        <w:ind w:firstLine="709" w:left="0" w:right="0"/>
        <w:contextualSpacing w:val="false"/>
        <w:jc w:val="both"/>
      </w:pPr>
      <w:r>
        <w:rPr>
          <w:rFonts w:ascii="Times New Roman" w:hAnsi="Times New Roman"/>
          <w:sz w:val="24"/>
          <w:szCs w:val="24"/>
        </w:rPr>
        <w:t xml:space="preserve">Согласно данному варианту развития схемы теплоснабжения предусматривается замена существующих тепловых сетей на новые в п. Дубитель. </w:t>
      </w:r>
    </w:p>
    <w:p>
      <w:pPr>
        <w:pStyle w:val="style0"/>
        <w:spacing w:after="0" w:before="0" w:line="100" w:lineRule="atLeast"/>
        <w:ind w:firstLine="709" w:left="0" w:right="0"/>
        <w:contextualSpacing w:val="false"/>
        <w:jc w:val="both"/>
      </w:pPr>
      <w:r>
        <w:rPr>
          <w:rFonts w:ascii="Times New Roman" w:hAnsi="Times New Roman"/>
          <w:color w:val="000000"/>
          <w:sz w:val="24"/>
          <w:szCs w:val="24"/>
        </w:rPr>
      </w:r>
    </w:p>
    <w:p>
      <w:pPr>
        <w:pStyle w:val="style1"/>
        <w:spacing w:after="0" w:before="0"/>
        <w:ind w:firstLine="709" w:left="0" w:right="0"/>
        <w:contextualSpacing w:val="false"/>
      </w:pPr>
      <w:bookmarkStart w:id="74" w:name="__RefHeading__3252_1577988068"/>
      <w:bookmarkStart w:id="75" w:name="_Toc445886212"/>
      <w:bookmarkEnd w:id="74"/>
      <w:bookmarkEnd w:id="75"/>
      <w:r>
        <w:rPr>
          <w:rFonts w:ascii="Times New Roman" w:hAnsi="Times New Roman"/>
          <w:bCs w:val="false"/>
          <w:color w:val="00000A"/>
          <w:sz w:val="24"/>
          <w:szCs w:val="24"/>
        </w:rPr>
        <w:t>6.2.3 Финансовая потребность для реализации проекта</w:t>
      </w:r>
    </w:p>
    <w:p>
      <w:pPr>
        <w:pStyle w:val="style0"/>
        <w:widowControl w:val="false"/>
        <w:spacing w:after="0" w:before="0"/>
        <w:ind w:firstLine="567" w:left="0" w:right="0"/>
        <w:contextualSpacing w:val="false"/>
      </w:pPr>
      <w:r>
        <w:rPr>
          <w:rFonts w:ascii="Times New Roman" w:hAnsi="Times New Roman"/>
          <w:sz w:val="24"/>
          <w:szCs w:val="24"/>
        </w:rPr>
      </w:r>
    </w:p>
    <w:p>
      <w:pPr>
        <w:pStyle w:val="style0"/>
        <w:spacing w:after="0" w:before="0" w:line="100" w:lineRule="atLeast"/>
        <w:ind w:firstLine="709" w:left="0" w:right="0"/>
        <w:contextualSpacing w:val="false"/>
        <w:jc w:val="both"/>
      </w:pPr>
      <w:r>
        <w:rPr>
          <w:rFonts w:ascii="Times New Roman" w:hAnsi="Times New Roman"/>
          <w:sz w:val="24"/>
          <w:szCs w:val="24"/>
        </w:rPr>
        <w:t xml:space="preserve">Оценка стоимости капитальных вложений в реконструкцию тепловых сетей осуществлялась по укрупненным показателям базисных стоимостей по видам 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pPr>
        <w:pStyle w:val="style0"/>
        <w:spacing w:after="0" w:before="0" w:line="100" w:lineRule="atLeast"/>
        <w:ind w:firstLine="709" w:left="0" w:right="0"/>
        <w:contextualSpacing w:val="false"/>
        <w:jc w:val="both"/>
      </w:pPr>
      <w:r>
        <w:rPr>
          <w:rFonts w:ascii="Times New Roman" w:hAnsi="Times New Roman"/>
          <w:sz w:val="24"/>
          <w:szCs w:val="24"/>
        </w:rPr>
        <w:t xml:space="preserve">Базисные укрупненные нормы были приведены к ценам в 2015 г. и сопоставлены с проектами-аналогами, выполненными проектными организациями в составе проектов на капитальные ремонт (реконструкцию), для проектов тепловых сетей с использованием новых технических решений. </w:t>
      </w:r>
    </w:p>
    <w:p>
      <w:pPr>
        <w:pStyle w:val="style0"/>
        <w:spacing w:after="0" w:before="0" w:line="100" w:lineRule="atLeast"/>
        <w:ind w:firstLine="709" w:left="0" w:right="0"/>
        <w:contextualSpacing w:val="false"/>
        <w:jc w:val="both"/>
      </w:pPr>
      <w:r>
        <w:rPr>
          <w:rFonts w:ascii="Times New Roman" w:hAnsi="Times New Roman"/>
          <w:sz w:val="24"/>
          <w:szCs w:val="24"/>
        </w:rPr>
        <w:t xml:space="preserve">В описании вида работ мелкие и сопутствующие операции не упоминаются, но показателями учтены. В показателях также учтены затраты на выгрузку материалов, изделий и конструкций, горизонтальное и вертикальное транспортирование их до места установки, монтажа и укладки. За базисные были приняты цены на материалы, оборудование действующие в 2015 г. </w:t>
      </w:r>
    </w:p>
    <w:p>
      <w:pPr>
        <w:pStyle w:val="style0"/>
        <w:spacing w:after="0" w:before="0" w:line="100" w:lineRule="atLeast"/>
        <w:ind w:firstLine="709" w:left="0" w:right="0"/>
        <w:contextualSpacing w:val="false"/>
        <w:jc w:val="both"/>
      </w:pPr>
      <w:r>
        <w:rPr>
          <w:rFonts w:ascii="Times New Roman" w:hAnsi="Times New Roman"/>
          <w:sz w:val="24"/>
          <w:szCs w:val="24"/>
        </w:rPr>
        <w:t xml:space="preserve">В настоящем разделе приведены результаты подробной оценки финансовых потребностей для проекта рекомендуемого варианта (Реконструкция тепловых сетей для обеспечения надежной работы теплопроводов). </w:t>
      </w:r>
    </w:p>
    <w:p>
      <w:pPr>
        <w:pStyle w:val="style0"/>
        <w:spacing w:after="0" w:before="0" w:line="100" w:lineRule="atLeast"/>
        <w:ind w:firstLine="709" w:left="0" w:right="0"/>
        <w:contextualSpacing w:val="false"/>
        <w:jc w:val="both"/>
      </w:pPr>
      <w:r>
        <w:rPr>
          <w:rFonts w:ascii="Times New Roman" w:hAnsi="Times New Roman"/>
          <w:sz w:val="24"/>
          <w:szCs w:val="24"/>
        </w:rPr>
        <w:t>Полная сметная стоимость каждого мероприятия приведена ниже.</w:t>
      </w:r>
    </w:p>
    <w:p>
      <w:pPr>
        <w:pStyle w:val="style0"/>
        <w:spacing w:after="0" w:before="0" w:line="100" w:lineRule="atLeast"/>
        <w:ind w:firstLine="709" w:left="0" w:right="0"/>
        <w:contextualSpacing w:val="false"/>
      </w:pPr>
      <w:r>
        <w:rPr>
          <w:rFonts w:ascii="Times New Roman" w:hAnsi="Times New Roman"/>
          <w:sz w:val="24"/>
          <w:szCs w:val="24"/>
        </w:rPr>
      </w:r>
    </w:p>
    <w:p>
      <w:pPr>
        <w:pStyle w:val="style0"/>
        <w:spacing w:after="0" w:before="0" w:line="100" w:lineRule="atLeast"/>
        <w:ind w:firstLine="709" w:left="0" w:right="0"/>
        <w:contextualSpacing w:val="false"/>
        <w:jc w:val="both"/>
      </w:pPr>
      <w:r>
        <w:rPr>
          <w:rFonts w:ascii="Times New Roman" w:hAnsi="Times New Roman"/>
          <w:color w:val="000000"/>
          <w:sz w:val="24"/>
          <w:szCs w:val="24"/>
        </w:rPr>
      </w:r>
    </w:p>
    <w:p>
      <w:pPr>
        <w:pStyle w:val="style0"/>
        <w:widowControl w:val="false"/>
        <w:spacing w:after="0" w:before="0"/>
        <w:ind w:firstLine="709" w:left="0" w:right="0"/>
        <w:contextualSpacing w:val="false"/>
      </w:pPr>
      <w:r>
        <w:rPr>
          <w:rFonts w:ascii="Times New Roman" w:hAnsi="Times New Roman"/>
          <w:b/>
          <w:bCs/>
          <w:sz w:val="24"/>
          <w:szCs w:val="24"/>
        </w:rPr>
      </w:r>
    </w:p>
    <w:p>
      <w:pPr>
        <w:sectPr>
          <w:footerReference r:id="rId4" w:type="default"/>
          <w:type w:val="nextPage"/>
          <w:pgSz w:h="16838" w:w="11906"/>
          <w:pgMar w:bottom="1701" w:footer="709" w:gutter="0" w:header="0" w:left="1134" w:right="567" w:top="992"/>
          <w:pgNumType w:fmt="decimal"/>
          <w:formProt w:val="false"/>
          <w:textDirection w:val="lrTb"/>
          <w:docGrid w:charSpace="4096" w:linePitch="360" w:type="default"/>
        </w:sectPr>
        <w:pStyle w:val="style0"/>
      </w:pPr>
      <w:r>
        <w:rPr>
          <w:rFonts w:ascii="Times New Roman" w:cs="Times New Roman" w:hAnsi="Times New Roman"/>
          <w:b/>
          <w:sz w:val="24"/>
          <w:szCs w:val="24"/>
        </w:rPr>
      </w:r>
    </w:p>
    <w:p>
      <w:pPr>
        <w:pStyle w:val="style1"/>
        <w:pageBreakBefore/>
        <w:spacing w:after="0" w:before="0"/>
        <w:ind w:firstLine="709" w:left="0" w:right="0"/>
        <w:contextualSpacing w:val="false"/>
      </w:pPr>
      <w:bookmarkStart w:id="76" w:name="__RefHeading__3254_1577988068"/>
      <w:bookmarkStart w:id="77" w:name="_Toc445886213"/>
      <w:bookmarkEnd w:id="76"/>
      <w:r>
        <w:rPr>
          <w:rFonts w:ascii="Times New Roman" w:hAnsi="Times New Roman"/>
          <w:bCs w:val="false"/>
          <w:color w:val="00000A"/>
          <w:sz w:val="24"/>
          <w:szCs w:val="23"/>
        </w:rPr>
        <w:t>6.3 Реконструкция тепловых сетей с оптимизацией диаметров трубопроводов</w:t>
      </w:r>
      <w:bookmarkEnd w:id="77"/>
      <w:r>
        <w:rPr>
          <w:rFonts w:ascii="Times New Roman" w:hAnsi="Times New Roman"/>
          <w:bCs w:val="false"/>
          <w:color w:val="00000A"/>
          <w:sz w:val="24"/>
          <w:szCs w:val="23"/>
        </w:rPr>
        <w:t xml:space="preserve"> </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Анализ результатов, разрабатываемых на каждый период гидравлических режимов подачи тепловой энергии выявили ряд участков тепловых сетей удельные падения давления (напора) в которых находится значительно ниже рекомендованных, что указывает на значительное завышение диаметров трубопроводов над необходимым. Данное обстоятельство приводит к росту как нормативных так и фактических потерь тепловой энергии в теплосети, а также к существенным затратам на текущий ремонт тепловых сетей. Реестр данных участков по годам их реконструкции представлен в таблице 6.1.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Объем работ связанный с оптимизацией при реконструкции диаметров трубопроводов тепловых сетей формируют проект, и необходим для повышения эффективности теплоснабжения существующей тепловой нагрузки. </w:t>
      </w:r>
    </w:p>
    <w:p>
      <w:pPr>
        <w:pStyle w:val="style0"/>
        <w:widowControl w:val="false"/>
        <w:spacing w:after="0" w:before="0" w:line="100" w:lineRule="atLeast"/>
        <w:ind w:firstLine="709" w:left="0" w:right="0"/>
        <w:contextualSpacing w:val="false"/>
        <w:jc w:val="both"/>
      </w:pPr>
      <w:r>
        <w:rPr>
          <w:rFonts w:ascii="Times New Roman" w:hAnsi="Times New Roman"/>
          <w:color w:val="000000"/>
          <w:sz w:val="24"/>
          <w:szCs w:val="23"/>
        </w:rPr>
        <w:t xml:space="preserve">Стоимость мероприятий, оцененной по выше приведенному способу составляет </w:t>
      </w:r>
      <w:r>
        <w:rPr>
          <w:rFonts w:ascii="Times New Roman" w:hAnsi="Times New Roman"/>
          <w:sz w:val="24"/>
          <w:szCs w:val="20"/>
        </w:rPr>
        <w:t>3 712,19</w:t>
      </w:r>
      <w:r>
        <w:rPr>
          <w:rFonts w:ascii="Times New Roman" w:hAnsi="Times New Roman"/>
          <w:color w:val="000000"/>
          <w:sz w:val="32"/>
          <w:szCs w:val="23"/>
        </w:rPr>
        <w:t xml:space="preserve"> </w:t>
      </w:r>
      <w:r>
        <w:rPr>
          <w:rFonts w:ascii="Times New Roman" w:hAnsi="Times New Roman"/>
          <w:color w:val="000000"/>
          <w:sz w:val="24"/>
          <w:szCs w:val="23"/>
        </w:rPr>
        <w:t>тыс. руб. с НДС. Мероприятие проекта представлена в табл. 6.2. Реконструкция теплосети с оптимизацией пропускной способности и трассировки сети направленные на повышение эффективности теплоснабжения существующей нагрузки включает, в том числе и вводные участки.</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sectPr>
          <w:footerReference r:id="rId5" w:type="default"/>
          <w:type w:val="nextPage"/>
          <w:pgSz w:h="16838" w:w="11906"/>
          <w:pgMar w:bottom="1701" w:footer="709" w:gutter="0" w:header="0" w:left="1134" w:right="567" w:top="992"/>
          <w:pgNumType w:fmt="decimal"/>
          <w:formProt w:val="false"/>
          <w:textDirection w:val="lrTb"/>
          <w:docGrid w:charSpace="4096" w:linePitch="360" w:type="default"/>
        </w:sect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0"/>
        <w:spacing w:after="0" w:before="0" w:line="100" w:lineRule="atLeast"/>
        <w:contextualSpacing w:val="false"/>
      </w:pPr>
      <w:r>
        <w:rPr>
          <w:rFonts w:ascii="Times New Roman" w:hAnsi="Times New Roman"/>
          <w:sz w:val="24"/>
          <w:szCs w:val="23"/>
        </w:rPr>
        <w:t xml:space="preserve">Таблица 6.1. Реестр мероприятий проекта развития тепловых сетей </w:t>
      </w:r>
      <w:r>
        <w:rPr>
          <w:rFonts w:ascii="Times New Roman" w:hAnsi="Times New Roman"/>
          <w:sz w:val="24"/>
          <w:szCs w:val="24"/>
        </w:rPr>
        <w:t>п. Дубитель</w:t>
      </w:r>
    </w:p>
    <w:p>
      <w:pPr>
        <w:pStyle w:val="style0"/>
        <w:spacing w:after="0" w:before="0" w:line="100" w:lineRule="atLeast"/>
        <w:ind w:firstLine="709" w:left="0" w:right="0"/>
        <w:contextualSpacing w:val="false"/>
      </w:pPr>
      <w:r>
        <w:rPr>
          <w:rFonts w:ascii="Times New Roman" w:hAnsi="Times New Roman"/>
          <w:sz w:val="28"/>
          <w:szCs w:val="24"/>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9264"/>
        <w:gridCol w:w="5096"/>
      </w:tblGrid>
      <w:tr>
        <w:trPr>
          <w:cantSplit w:val="false"/>
        </w:trPr>
        <w:tc>
          <w:tcPr>
            <w:tcW w:type="dxa" w:w="926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Мероприятия</w:t>
            </w:r>
          </w:p>
        </w:tc>
        <w:tc>
          <w:tcPr>
            <w:tcW w:type="dxa" w:w="509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Характеристики</w:t>
            </w:r>
          </w:p>
        </w:tc>
      </w:tr>
      <w:tr>
        <w:trPr>
          <w:cantSplit w:val="false"/>
        </w:trPr>
        <w:tc>
          <w:tcPr>
            <w:tcW w:type="dxa" w:w="14360"/>
            <w:gridSpan w:val="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с 2016г. до 2017 г.</w:t>
            </w:r>
          </w:p>
        </w:tc>
      </w:tr>
      <w:tr>
        <w:trPr>
          <w:cantSplit w:val="false"/>
        </w:trPr>
        <w:tc>
          <w:tcPr>
            <w:tcW w:type="dxa" w:w="926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1. Реконструкция участка тепловой сети на </w:t>
            </w:r>
            <w:r>
              <w:rPr>
                <w:rFonts w:cs="Calibri"/>
                <w:sz w:val="20"/>
                <w:szCs w:val="20"/>
              </w:rPr>
              <w:t>повышения эффективности функционирования системы теплоснабжения от котельной до ТК-1 протяженностью 10 м с Ду 69 на Ду 57 надземного типа исполнения.</w:t>
            </w:r>
          </w:p>
        </w:tc>
        <w:tc>
          <w:tcPr>
            <w:tcW w:type="dxa" w:w="509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10 м, надземного типа, с Ду 69 на Ду 57, изоляция минераловатные маты марки 100.</w:t>
            </w:r>
          </w:p>
        </w:tc>
      </w:tr>
      <w:tr>
        <w:trPr>
          <w:cantSplit w:val="false"/>
        </w:trPr>
        <w:tc>
          <w:tcPr>
            <w:tcW w:type="dxa" w:w="926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2. Реконструкция участка тепловой сети на </w:t>
            </w:r>
            <w:r>
              <w:rPr>
                <w:rFonts w:cs="Calibri"/>
                <w:sz w:val="20"/>
                <w:szCs w:val="20"/>
              </w:rPr>
              <w:t>повышения эффективности функционирования системы теплоснабжения от ТК-2 до Конторы,  протяженностью 35 м с Ду 69 на Ду 57 надземного типа исполнения.</w:t>
            </w:r>
          </w:p>
        </w:tc>
        <w:tc>
          <w:tcPr>
            <w:tcW w:type="dxa" w:w="509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35 м, надземного типа, с Ду 69 на Ду 57, изоляция минераловатные маты марки 100.</w:t>
            </w:r>
          </w:p>
        </w:tc>
      </w:tr>
      <w:tr>
        <w:trPr>
          <w:cantSplit w:val="false"/>
        </w:trPr>
        <w:tc>
          <w:tcPr>
            <w:tcW w:type="dxa" w:w="926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3. Реконструкция участка тепловой сети на </w:t>
            </w:r>
            <w:r>
              <w:rPr>
                <w:rFonts w:cs="Calibri"/>
                <w:sz w:val="20"/>
                <w:szCs w:val="20"/>
              </w:rPr>
              <w:t>повышения эффективности функционирования системы теплоснабжения от ТК-2 до ТК-3,  протяженностью 130 м с Ду 69 на Ду 57 надземного типа исполнения.</w:t>
            </w:r>
          </w:p>
        </w:tc>
        <w:tc>
          <w:tcPr>
            <w:tcW w:type="dxa" w:w="509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130 м, подземного типа, с Ду 69 на Ду 57, изоляция минераловатные маты марки 100.</w:t>
            </w:r>
          </w:p>
        </w:tc>
      </w:tr>
      <w:tr>
        <w:trPr>
          <w:cantSplit w:val="false"/>
        </w:trPr>
        <w:tc>
          <w:tcPr>
            <w:tcW w:type="dxa" w:w="926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4. Реконструкция участка тепловой сети на </w:t>
            </w:r>
            <w:r>
              <w:rPr>
                <w:rFonts w:cs="Calibri"/>
                <w:sz w:val="20"/>
                <w:szCs w:val="20"/>
              </w:rPr>
              <w:t>повышения эффективности функционирования системы теплоснабжения от ТК-3 до ж/д ул. Парковая 8,  протяженностью 15 м с Ду 250 на Ду 79 подземного типа исполнения.</w:t>
            </w:r>
          </w:p>
        </w:tc>
        <w:tc>
          <w:tcPr>
            <w:tcW w:type="dxa" w:w="509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15 м, подземного типа, с Ду 250 на Ду 159, изоляция минераловатные маты марки 100.</w:t>
            </w:r>
          </w:p>
        </w:tc>
      </w:tr>
      <w:tr>
        <w:trPr>
          <w:cantSplit w:val="false"/>
        </w:trPr>
        <w:tc>
          <w:tcPr>
            <w:tcW w:type="dxa" w:w="14360"/>
            <w:gridSpan w:val="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с 2020г. до 2025 г.</w:t>
            </w:r>
          </w:p>
        </w:tc>
      </w:tr>
      <w:tr>
        <w:trPr>
          <w:cantSplit w:val="false"/>
        </w:trPr>
        <w:tc>
          <w:tcPr>
            <w:tcW w:type="dxa" w:w="14360"/>
            <w:gridSpan w:val="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с 2025г. до 2030 г.</w:t>
            </w:r>
          </w:p>
        </w:tc>
      </w:tr>
    </w:tbl>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8"/>
          <w:szCs w:val="24"/>
        </w:rPr>
      </w:r>
    </w:p>
    <w:p>
      <w:pPr>
        <w:pStyle w:val="style0"/>
        <w:spacing w:after="0" w:before="0" w:line="100" w:lineRule="atLeast"/>
        <w:ind w:firstLine="709" w:left="0" w:right="0"/>
        <w:contextualSpacing w:val="false"/>
      </w:pPr>
      <w:r>
        <w:rPr>
          <w:rFonts w:ascii="Times New Roman" w:hAnsi="Times New Roman"/>
          <w:sz w:val="24"/>
          <w:szCs w:val="23"/>
        </w:rPr>
      </w:r>
    </w:p>
    <w:p>
      <w:pPr>
        <w:pStyle w:val="style0"/>
        <w:spacing w:after="0" w:before="0" w:line="100" w:lineRule="atLeast"/>
        <w:ind w:firstLine="709" w:left="0" w:right="0"/>
        <w:contextualSpacing w:val="false"/>
      </w:pPr>
      <w:r>
        <w:rPr>
          <w:rFonts w:ascii="Times New Roman" w:hAnsi="Times New Roman"/>
          <w:sz w:val="24"/>
          <w:szCs w:val="23"/>
        </w:rPr>
      </w:r>
    </w:p>
    <w:p>
      <w:pPr>
        <w:pStyle w:val="style0"/>
        <w:spacing w:after="0" w:before="0" w:line="100" w:lineRule="atLeast"/>
        <w:ind w:firstLine="709" w:left="0" w:right="0"/>
        <w:contextualSpacing w:val="false"/>
      </w:pPr>
      <w:r>
        <w:rPr>
          <w:rFonts w:ascii="Times New Roman" w:hAnsi="Times New Roman"/>
          <w:sz w:val="24"/>
          <w:szCs w:val="23"/>
        </w:rPr>
      </w:r>
    </w:p>
    <w:p>
      <w:pPr>
        <w:pStyle w:val="style0"/>
        <w:spacing w:after="0" w:before="0" w:line="100" w:lineRule="atLeast"/>
        <w:ind w:firstLine="709" w:left="0" w:right="0"/>
        <w:contextualSpacing w:val="false"/>
      </w:pPr>
      <w:r>
        <w:rPr>
          <w:rFonts w:ascii="Times New Roman" w:hAnsi="Times New Roman"/>
          <w:sz w:val="24"/>
          <w:szCs w:val="23"/>
        </w:rPr>
      </w:r>
    </w:p>
    <w:p>
      <w:pPr>
        <w:pStyle w:val="style0"/>
        <w:spacing w:after="0" w:before="0" w:line="100" w:lineRule="atLeast"/>
        <w:ind w:firstLine="709" w:left="0" w:right="0"/>
        <w:contextualSpacing w:val="false"/>
      </w:pPr>
      <w:r>
        <w:rPr>
          <w:rFonts w:ascii="Times New Roman" w:hAnsi="Times New Roman"/>
          <w:sz w:val="24"/>
          <w:szCs w:val="23"/>
        </w:rPr>
      </w:r>
    </w:p>
    <w:p>
      <w:pPr>
        <w:pStyle w:val="style0"/>
        <w:spacing w:after="0" w:before="0" w:line="100" w:lineRule="atLeast"/>
        <w:ind w:firstLine="709" w:left="0" w:right="0"/>
        <w:contextualSpacing w:val="false"/>
      </w:pPr>
      <w:r>
        <w:rPr>
          <w:rFonts w:ascii="Times New Roman" w:hAnsi="Times New Roman"/>
          <w:sz w:val="24"/>
          <w:szCs w:val="23"/>
        </w:rPr>
      </w:r>
    </w:p>
    <w:p>
      <w:pPr>
        <w:pStyle w:val="style0"/>
        <w:spacing w:after="0" w:before="0" w:line="100" w:lineRule="atLeast"/>
        <w:ind w:firstLine="709" w:left="0" w:right="0"/>
        <w:contextualSpacing w:val="false"/>
      </w:pPr>
      <w:r>
        <w:rPr>
          <w:rFonts w:ascii="Times New Roman" w:hAnsi="Times New Roman"/>
          <w:sz w:val="24"/>
          <w:szCs w:val="23"/>
        </w:rPr>
      </w:r>
    </w:p>
    <w:p>
      <w:pPr>
        <w:pStyle w:val="style0"/>
        <w:spacing w:after="0" w:before="0" w:line="100" w:lineRule="atLeast"/>
        <w:contextualSpacing w:val="false"/>
      </w:pPr>
      <w:r>
        <w:rPr>
          <w:rFonts w:ascii="Times New Roman" w:hAnsi="Times New Roman"/>
          <w:sz w:val="24"/>
          <w:szCs w:val="23"/>
        </w:rPr>
        <w:t>Таблица 6.2. Финансовые потребности для реализации проекта в ценах 2015 г.</w:t>
      </w:r>
    </w:p>
    <w:p>
      <w:pPr>
        <w:pStyle w:val="style0"/>
        <w:spacing w:after="0" w:before="0" w:line="100" w:lineRule="atLeast"/>
        <w:ind w:firstLine="709" w:left="0" w:right="0"/>
        <w:contextualSpacing w:val="false"/>
      </w:pPr>
      <w:r>
        <w:rPr>
          <w:rFonts w:ascii="Times New Roman" w:hAnsi="Times New Roman"/>
          <w:sz w:val="24"/>
          <w:szCs w:val="23"/>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3572"/>
        <w:gridCol w:w="3367"/>
        <w:gridCol w:w="2657"/>
        <w:gridCol w:w="1115"/>
        <w:gridCol w:w="1122"/>
        <w:gridCol w:w="3016"/>
      </w:tblGrid>
      <w:tr>
        <w:trPr>
          <w:trHeight w:hRule="atLeast" w:val="729"/>
          <w:cantSplit w:val="false"/>
        </w:trPr>
        <w:tc>
          <w:tcPr>
            <w:tcW w:type="dxa" w:w="357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 xml:space="preserve">Мероприятия </w:t>
            </w:r>
          </w:p>
        </w:tc>
        <w:tc>
          <w:tcPr>
            <w:tcW w:type="dxa" w:w="336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Характеристики</w:t>
            </w:r>
          </w:p>
        </w:tc>
        <w:tc>
          <w:tcPr>
            <w:tcW w:type="dxa" w:w="2657"/>
            <w:gridSpan w:val="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Характеристика</w:t>
            </w:r>
          </w:p>
        </w:tc>
        <w:tc>
          <w:tcPr>
            <w:tcW w:type="dxa" w:w="111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участка, м</w:t>
            </w:r>
          </w:p>
        </w:tc>
        <w:tc>
          <w:tcPr>
            <w:tcW w:type="dxa" w:w="112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Диаметр, мм</w:t>
            </w:r>
          </w:p>
        </w:tc>
        <w:tc>
          <w:tcPr>
            <w:tcW w:type="dxa" w:w="30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0"/>
              </w:rPr>
              <w:t>Итого стоимость по расчетам с НДС, тыс. руб.</w:t>
            </w:r>
          </w:p>
        </w:tc>
      </w:tr>
      <w:tr>
        <w:trPr>
          <w:trHeight w:hRule="atLeast" w:val="249"/>
          <w:cantSplit w:val="false"/>
        </w:trPr>
        <w:tc>
          <w:tcPr>
            <w:tcW w:type="dxa" w:w="357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1. Реконструкция участка тепловой сети </w:t>
            </w:r>
            <w:r>
              <w:rPr>
                <w:rFonts w:cs="Calibri"/>
                <w:sz w:val="20"/>
                <w:szCs w:val="20"/>
              </w:rPr>
              <w:t xml:space="preserve">от котельной до ТК-1 </w:t>
            </w:r>
          </w:p>
        </w:tc>
        <w:tc>
          <w:tcPr>
            <w:tcW w:type="dxa" w:w="336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10 м, надземного типа, с Ду 69 на Ду 57, изоляция минераловатные маты марки 100.</w:t>
            </w:r>
          </w:p>
        </w:tc>
        <w:tc>
          <w:tcPr>
            <w:tcW w:type="dxa" w:w="148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реконструкция</w:t>
            </w:r>
          </w:p>
        </w:tc>
        <w:tc>
          <w:tcPr>
            <w:tcW w:type="dxa" w:w="11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надземный</w:t>
            </w:r>
          </w:p>
        </w:tc>
        <w:tc>
          <w:tcPr>
            <w:tcW w:type="dxa" w:w="111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10</w:t>
            </w:r>
          </w:p>
        </w:tc>
        <w:tc>
          <w:tcPr>
            <w:tcW w:type="dxa" w:w="112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57</w:t>
            </w:r>
          </w:p>
        </w:tc>
        <w:tc>
          <w:tcPr>
            <w:tcW w:type="dxa" w:w="30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181,56</w:t>
            </w:r>
          </w:p>
        </w:tc>
      </w:tr>
      <w:tr>
        <w:trPr>
          <w:trHeight w:hRule="atLeast" w:val="249"/>
          <w:cantSplit w:val="false"/>
        </w:trPr>
        <w:tc>
          <w:tcPr>
            <w:tcW w:type="dxa" w:w="357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2. Реконструкция участка тепловой сети </w:t>
            </w:r>
            <w:r>
              <w:rPr>
                <w:rFonts w:cs="Calibri"/>
                <w:sz w:val="20"/>
                <w:szCs w:val="20"/>
              </w:rPr>
              <w:t>от ТК-2 до Конторы</w:t>
            </w:r>
          </w:p>
        </w:tc>
        <w:tc>
          <w:tcPr>
            <w:tcW w:type="dxa" w:w="336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35 м, надземного типа, с Ду 69 на Ду 57, изоляция минераловатные маты марки 100.</w:t>
            </w:r>
          </w:p>
        </w:tc>
        <w:tc>
          <w:tcPr>
            <w:tcW w:type="dxa" w:w="148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реконструкция</w:t>
            </w:r>
          </w:p>
        </w:tc>
        <w:tc>
          <w:tcPr>
            <w:tcW w:type="dxa" w:w="11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надземный</w:t>
            </w:r>
          </w:p>
        </w:tc>
        <w:tc>
          <w:tcPr>
            <w:tcW w:type="dxa" w:w="111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35</w:t>
            </w:r>
          </w:p>
        </w:tc>
        <w:tc>
          <w:tcPr>
            <w:tcW w:type="dxa" w:w="112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57</w:t>
            </w:r>
          </w:p>
        </w:tc>
        <w:tc>
          <w:tcPr>
            <w:tcW w:type="dxa" w:w="30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635,47</w:t>
            </w:r>
          </w:p>
        </w:tc>
      </w:tr>
      <w:tr>
        <w:trPr>
          <w:trHeight w:hRule="atLeast" w:val="249"/>
          <w:cantSplit w:val="false"/>
        </w:trPr>
        <w:tc>
          <w:tcPr>
            <w:tcW w:type="dxa" w:w="357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3. Реконструкция участка тепловой сети </w:t>
            </w:r>
            <w:r>
              <w:rPr>
                <w:rFonts w:cs="Calibri"/>
                <w:sz w:val="20"/>
                <w:szCs w:val="20"/>
              </w:rPr>
              <w:t>от ТК-2 до ТК-3</w:t>
            </w:r>
          </w:p>
        </w:tc>
        <w:tc>
          <w:tcPr>
            <w:tcW w:type="dxa" w:w="336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130 м, подземного типа, с Ду 69 на Ду 57, изоляция минераловатные маты марки 100.</w:t>
            </w:r>
          </w:p>
        </w:tc>
        <w:tc>
          <w:tcPr>
            <w:tcW w:type="dxa" w:w="148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реконструкция</w:t>
            </w:r>
          </w:p>
        </w:tc>
        <w:tc>
          <w:tcPr>
            <w:tcW w:type="dxa" w:w="11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надземный</w:t>
            </w:r>
          </w:p>
        </w:tc>
        <w:tc>
          <w:tcPr>
            <w:tcW w:type="dxa" w:w="111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130</w:t>
            </w:r>
          </w:p>
        </w:tc>
        <w:tc>
          <w:tcPr>
            <w:tcW w:type="dxa" w:w="112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57</w:t>
            </w:r>
          </w:p>
        </w:tc>
        <w:tc>
          <w:tcPr>
            <w:tcW w:type="dxa" w:w="30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2 360,32</w:t>
            </w:r>
          </w:p>
        </w:tc>
      </w:tr>
      <w:tr>
        <w:trPr>
          <w:trHeight w:hRule="atLeast" w:val="249"/>
          <w:cantSplit w:val="false"/>
        </w:trPr>
        <w:tc>
          <w:tcPr>
            <w:tcW w:type="dxa" w:w="357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35"/>
              <w:spacing w:after="0" w:before="0" w:line="100" w:lineRule="atLeast"/>
              <w:contextualSpacing w:val="false"/>
            </w:pPr>
            <w:r>
              <w:rPr>
                <w:sz w:val="20"/>
                <w:szCs w:val="20"/>
              </w:rPr>
              <w:t xml:space="preserve">4. Реконструкция участка тепловой сети </w:t>
            </w:r>
            <w:r>
              <w:rPr>
                <w:rFonts w:cs="Calibri"/>
                <w:sz w:val="20"/>
                <w:szCs w:val="20"/>
              </w:rPr>
              <w:t>от ТК-3 до ж/д ул. Парковая 8</w:t>
            </w:r>
          </w:p>
        </w:tc>
        <w:tc>
          <w:tcPr>
            <w:tcW w:type="dxa" w:w="336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Длина 15 м, подземного типа, с Ду 250 на Ду 159, изоляция минераловатные маты марки 100.</w:t>
            </w:r>
          </w:p>
        </w:tc>
        <w:tc>
          <w:tcPr>
            <w:tcW w:type="dxa" w:w="148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реконструкция</w:t>
            </w:r>
          </w:p>
        </w:tc>
        <w:tc>
          <w:tcPr>
            <w:tcW w:type="dxa" w:w="11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надземный</w:t>
            </w:r>
          </w:p>
        </w:tc>
        <w:tc>
          <w:tcPr>
            <w:tcW w:type="dxa" w:w="111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15</w:t>
            </w:r>
          </w:p>
        </w:tc>
        <w:tc>
          <w:tcPr>
            <w:tcW w:type="dxa" w:w="112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159</w:t>
            </w:r>
          </w:p>
        </w:tc>
        <w:tc>
          <w:tcPr>
            <w:tcW w:type="dxa" w:w="30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534,84</w:t>
            </w:r>
          </w:p>
        </w:tc>
      </w:tr>
      <w:tr>
        <w:trPr>
          <w:trHeight w:hRule="atLeast" w:val="249"/>
          <w:cantSplit w:val="false"/>
        </w:trPr>
        <w:tc>
          <w:tcPr>
            <w:tcW w:type="dxa" w:w="357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b/>
                <w:sz w:val="20"/>
                <w:szCs w:val="20"/>
              </w:rPr>
              <w:t>Всего</w:t>
            </w:r>
          </w:p>
        </w:tc>
        <w:tc>
          <w:tcPr>
            <w:tcW w:type="dxa" w:w="336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0"/>
              </w:rPr>
            </w:r>
          </w:p>
        </w:tc>
        <w:tc>
          <w:tcPr>
            <w:tcW w:type="dxa" w:w="148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0"/>
              </w:rPr>
            </w:r>
          </w:p>
        </w:tc>
        <w:tc>
          <w:tcPr>
            <w:tcW w:type="dxa" w:w="116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0"/>
              </w:rPr>
            </w:r>
          </w:p>
        </w:tc>
        <w:tc>
          <w:tcPr>
            <w:tcW w:type="dxa" w:w="111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0"/>
              </w:rPr>
            </w:r>
          </w:p>
        </w:tc>
        <w:tc>
          <w:tcPr>
            <w:tcW w:type="dxa" w:w="112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0"/>
              </w:rPr>
            </w:r>
          </w:p>
        </w:tc>
        <w:tc>
          <w:tcPr>
            <w:tcW w:type="dxa" w:w="3016"/>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0"/>
              </w:rPr>
              <w:t>3 712,19</w:t>
            </w:r>
          </w:p>
        </w:tc>
      </w:tr>
    </w:tbl>
    <w:p>
      <w:pPr>
        <w:pStyle w:val="style0"/>
        <w:spacing w:after="0" w:before="0" w:line="100" w:lineRule="atLeast"/>
        <w:ind w:firstLine="709" w:left="0" w:right="0"/>
        <w:contextualSpacing w:val="false"/>
        <w:jc w:val="both"/>
      </w:pPr>
      <w:r>
        <w:rPr>
          <w:rFonts w:ascii="Times New Roman" w:hAnsi="Times New Roman"/>
          <w:b/>
          <w:bCs/>
          <w:color w:val="000000"/>
          <w:sz w:val="24"/>
          <w:szCs w:val="23"/>
        </w:rPr>
        <w:t xml:space="preserve">6.4 Реконструкция тепловых сетей в связи с исчерпанием эксплуатационного ресурса </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ind w:firstLine="709" w:left="0" w:right="0"/>
        <w:contextualSpacing w:val="false"/>
        <w:jc w:val="both"/>
      </w:pPr>
      <w:r>
        <w:rPr>
          <w:rFonts w:ascii="Times New Roman" w:hAnsi="Times New Roman"/>
          <w:color w:val="000000"/>
          <w:sz w:val="24"/>
          <w:szCs w:val="23"/>
        </w:rPr>
        <w:t>В ходе анализа характеристик тепловых сетей, отчетности по проведению ремонтов, а также визуального осмотра установлен эксплуатационный ресурс тепловых сетей (год ввода или последней перекладки). Тепловые сети не увлеченные в проекты практически за период 2015-2030 г. отработают плановый ресурс 25 и более лет. В связи с этим на данный период разработан проект по реконструкции данных тепловых сетей. Участки и их характеристики представлены в табл. 6.3.</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contextualSpacing w:val="false"/>
      </w:pPr>
      <w:r>
        <w:rPr>
          <w:rFonts w:ascii="Times New Roman" w:hAnsi="Times New Roman"/>
          <w:sz w:val="24"/>
          <w:szCs w:val="23"/>
        </w:rPr>
        <w:t xml:space="preserve">Таблица 6.3. Реестр мероприятий проекта развития тепловых сетей </w:t>
      </w:r>
      <w:r>
        <w:rPr>
          <w:rFonts w:ascii="Times New Roman" w:hAnsi="Times New Roman"/>
          <w:sz w:val="24"/>
          <w:szCs w:val="24"/>
        </w:rPr>
        <w:t>п. Дубитель</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4077"/>
        <w:gridCol w:w="3685"/>
        <w:gridCol w:w="2375"/>
      </w:tblGrid>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Мероприятия</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Характеристики</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Период реконструкции</w:t>
            </w:r>
          </w:p>
        </w:tc>
      </w:tr>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1</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3</w:t>
            </w:r>
          </w:p>
        </w:tc>
      </w:tr>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1. Реконструкция участка тепловой сети от ТК-1 до ТК-5</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85 м, надземная, Ду 69, изоляция минераловатные маты</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 г.</w:t>
            </w:r>
          </w:p>
        </w:tc>
      </w:tr>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2. Реконструкция участка тепловой сети от ТК-5 до ТК-6</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55 м, надземная, Ду 69, изоляция минераловатные маты</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 г.</w:t>
            </w:r>
          </w:p>
        </w:tc>
      </w:tr>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3. Реконструкция участка тепловой сети от ТК-6 до ж/д ул. Центральная 6</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25 м, подземная, Ду 250, изоляция минераловатные маты</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 г.</w:t>
            </w:r>
          </w:p>
        </w:tc>
      </w:tr>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4. Реконструкция участка тепловой сети от ТК-6 до ул. Пионерская, 20</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115 м, надземная, Ду 69,  изоляция минераловатные маты</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 г.</w:t>
            </w:r>
          </w:p>
        </w:tc>
      </w:tr>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5. Реконструкция участка тепловой сети от ТК-6 до ул. Пионерская, 21</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15 м, надземная, Ду 69, изоляция минераловатные маты</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 г.</w:t>
            </w:r>
          </w:p>
        </w:tc>
      </w:tr>
      <w:tr>
        <w:trPr>
          <w:cantSplit w:val="false"/>
        </w:trPr>
        <w:tc>
          <w:tcPr>
            <w:tcW w:type="dxa" w:w="407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6. Реконструкция участка тепловой сети от ТК-6 до ул. Пионерская, 21а</w:t>
            </w:r>
          </w:p>
        </w:tc>
        <w:tc>
          <w:tcPr>
            <w:tcW w:type="dxa" w:w="368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5 м, подземная, Ду 69, изоляция минераловатные маты</w:t>
            </w:r>
          </w:p>
        </w:tc>
        <w:tc>
          <w:tcPr>
            <w:tcW w:type="dxa" w:w="237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 г.</w:t>
            </w:r>
          </w:p>
        </w:tc>
      </w:tr>
    </w:tbl>
    <w:p>
      <w:pPr>
        <w:pStyle w:val="style0"/>
        <w:spacing w:after="0" w:before="0" w:line="100" w:lineRule="atLeast"/>
        <w:contextualSpacing w:val="false"/>
      </w:pPr>
      <w:r>
        <w:rPr>
          <w:rFonts w:ascii="Times New Roman" w:hAnsi="Times New Roman"/>
          <w:sz w:val="24"/>
          <w:szCs w:val="23"/>
        </w:rPr>
        <w:t>Таблица 6.4. Финансовые потребности для реализации проекта в ценах 2015 г.</w:t>
      </w:r>
    </w:p>
    <w:p>
      <w:pPr>
        <w:pStyle w:val="style0"/>
        <w:spacing w:after="0" w:before="0" w:line="100" w:lineRule="atLeast"/>
        <w:ind w:firstLine="709" w:left="0" w:right="0"/>
        <w:contextualSpacing w:val="false"/>
      </w:pPr>
      <w:r>
        <w:rPr>
          <w:rFonts w:ascii="Times New Roman" w:hAnsi="Times New Roman"/>
          <w:sz w:val="24"/>
          <w:szCs w:val="23"/>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3614"/>
        <w:gridCol w:w="3395"/>
        <w:gridCol w:w="2565"/>
        <w:gridCol w:w="1118"/>
        <w:gridCol w:w="1124"/>
        <w:gridCol w:w="2750"/>
      </w:tblGrid>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 xml:space="preserve">Мероприятия </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Характеристики</w:t>
            </w:r>
          </w:p>
        </w:tc>
        <w:tc>
          <w:tcPr>
            <w:tcW w:type="dxa" w:w="2565"/>
            <w:gridSpan w:val="2"/>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Характеристика</w:t>
            </w:r>
          </w:p>
        </w:tc>
        <w:tc>
          <w:tcPr>
            <w:tcW w:type="dxa" w:w="111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участка, м</w:t>
            </w:r>
          </w:p>
        </w:tc>
        <w:tc>
          <w:tcPr>
            <w:tcW w:type="dxa" w:w="112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Диаметр, мм</w:t>
            </w:r>
          </w:p>
        </w:tc>
        <w:tc>
          <w:tcPr>
            <w:tcW w:type="dxa" w:w="275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4"/>
              </w:rPr>
              <w:t>Итого стоимость по расчетам с НДС, тыс. руб.</w:t>
            </w:r>
          </w:p>
        </w:tc>
      </w:tr>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1. Реконструкция участка тепловой сети от ТК-1 до ТК-5</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85 м, надземная, Ду 69, изоляция минераловатные маты</w:t>
            </w:r>
          </w:p>
        </w:tc>
        <w:tc>
          <w:tcPr>
            <w:tcW w:type="dxa" w:w="143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новое строительство</w:t>
            </w:r>
          </w:p>
        </w:tc>
        <w:tc>
          <w:tcPr>
            <w:tcW w:type="dxa" w:w="11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надземная</w:t>
            </w:r>
          </w:p>
        </w:tc>
        <w:tc>
          <w:tcPr>
            <w:tcW w:type="dxa" w:w="11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85</w:t>
            </w:r>
          </w:p>
        </w:tc>
        <w:tc>
          <w:tcPr>
            <w:tcW w:type="dxa" w:w="112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69</w:t>
            </w:r>
          </w:p>
        </w:tc>
        <w:tc>
          <w:tcPr>
            <w:tcW w:type="dxa" w:w="27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1 589,36</w:t>
            </w:r>
          </w:p>
        </w:tc>
      </w:tr>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2. Реконструкция участка тепловой сети от ТК-5 до ТК-6</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55 м, надземная, Ду 69, изоляция минераловатные маты</w:t>
            </w:r>
          </w:p>
        </w:tc>
        <w:tc>
          <w:tcPr>
            <w:tcW w:type="dxa" w:w="143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новое строительство</w:t>
            </w:r>
          </w:p>
        </w:tc>
        <w:tc>
          <w:tcPr>
            <w:tcW w:type="dxa" w:w="11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надземная</w:t>
            </w:r>
          </w:p>
        </w:tc>
        <w:tc>
          <w:tcPr>
            <w:tcW w:type="dxa" w:w="11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55</w:t>
            </w:r>
          </w:p>
        </w:tc>
        <w:tc>
          <w:tcPr>
            <w:tcW w:type="dxa" w:w="112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69</w:t>
            </w:r>
          </w:p>
        </w:tc>
        <w:tc>
          <w:tcPr>
            <w:tcW w:type="dxa" w:w="27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1 028,41</w:t>
            </w:r>
          </w:p>
        </w:tc>
      </w:tr>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3. Реконструкция участка тепловой сети от ТК-6 до ж/д ул. Центральная 6</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25 м, подземная, Ду 250, изоляция минераловатные маты</w:t>
            </w:r>
          </w:p>
        </w:tc>
        <w:tc>
          <w:tcPr>
            <w:tcW w:type="dxa" w:w="143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новое строительство</w:t>
            </w:r>
          </w:p>
        </w:tc>
        <w:tc>
          <w:tcPr>
            <w:tcW w:type="dxa" w:w="11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подземная</w:t>
            </w:r>
          </w:p>
        </w:tc>
        <w:tc>
          <w:tcPr>
            <w:tcW w:type="dxa" w:w="11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25</w:t>
            </w:r>
          </w:p>
        </w:tc>
        <w:tc>
          <w:tcPr>
            <w:tcW w:type="dxa" w:w="112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250</w:t>
            </w:r>
          </w:p>
        </w:tc>
        <w:tc>
          <w:tcPr>
            <w:tcW w:type="dxa" w:w="27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1 068,39</w:t>
            </w:r>
          </w:p>
        </w:tc>
      </w:tr>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4. Реконструкция участка тепловой сети от ТК-6 до ул. Пионерская, 20</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115 м, надземная, Ду 69,  изоляция минераловатные маты</w:t>
            </w:r>
          </w:p>
        </w:tc>
        <w:tc>
          <w:tcPr>
            <w:tcW w:type="dxa" w:w="143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новое строительство</w:t>
            </w:r>
          </w:p>
        </w:tc>
        <w:tc>
          <w:tcPr>
            <w:tcW w:type="dxa" w:w="11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надземная</w:t>
            </w:r>
          </w:p>
        </w:tc>
        <w:tc>
          <w:tcPr>
            <w:tcW w:type="dxa" w:w="11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115</w:t>
            </w:r>
          </w:p>
        </w:tc>
        <w:tc>
          <w:tcPr>
            <w:tcW w:type="dxa" w:w="112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69</w:t>
            </w:r>
          </w:p>
        </w:tc>
        <w:tc>
          <w:tcPr>
            <w:tcW w:type="dxa" w:w="27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2 150,31</w:t>
            </w:r>
          </w:p>
        </w:tc>
      </w:tr>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5. Реконструкция участка тепловой сети от ТК-6 до ул. Пионерская, 21</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15 м, надземная, Ду 69, изоляция минераловатные маты</w:t>
            </w:r>
          </w:p>
        </w:tc>
        <w:tc>
          <w:tcPr>
            <w:tcW w:type="dxa" w:w="143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новое строительство</w:t>
            </w:r>
          </w:p>
        </w:tc>
        <w:tc>
          <w:tcPr>
            <w:tcW w:type="dxa" w:w="11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надземная</w:t>
            </w:r>
          </w:p>
        </w:tc>
        <w:tc>
          <w:tcPr>
            <w:tcW w:type="dxa" w:w="11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15</w:t>
            </w:r>
          </w:p>
        </w:tc>
        <w:tc>
          <w:tcPr>
            <w:tcW w:type="dxa" w:w="112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69</w:t>
            </w:r>
          </w:p>
        </w:tc>
        <w:tc>
          <w:tcPr>
            <w:tcW w:type="dxa" w:w="27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280,48</w:t>
            </w:r>
          </w:p>
        </w:tc>
      </w:tr>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sz w:val="20"/>
                <w:szCs w:val="24"/>
              </w:rPr>
              <w:t>6. Реконструкция участка тепловой сети от ТК-6 до ул. Пионерская, 21а</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Длина 5 м, надземная, Ду 69, изоляция минераловатные маты</w:t>
            </w:r>
          </w:p>
        </w:tc>
        <w:tc>
          <w:tcPr>
            <w:tcW w:type="dxa" w:w="143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новое строительство</w:t>
            </w:r>
          </w:p>
        </w:tc>
        <w:tc>
          <w:tcPr>
            <w:tcW w:type="dxa" w:w="11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надземная</w:t>
            </w:r>
          </w:p>
        </w:tc>
        <w:tc>
          <w:tcPr>
            <w:tcW w:type="dxa" w:w="11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5</w:t>
            </w:r>
          </w:p>
        </w:tc>
        <w:tc>
          <w:tcPr>
            <w:tcW w:type="dxa" w:w="112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69</w:t>
            </w:r>
          </w:p>
        </w:tc>
        <w:tc>
          <w:tcPr>
            <w:tcW w:type="dxa" w:w="27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93,49</w:t>
            </w:r>
          </w:p>
        </w:tc>
      </w:tr>
      <w:tr>
        <w:trPr>
          <w:trHeight w:hRule="atLeast" w:val="249"/>
          <w:cantSplit w:val="false"/>
        </w:trPr>
        <w:tc>
          <w:tcPr>
            <w:tcW w:type="dxa" w:w="361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29"/>
              <w:spacing w:after="0" w:before="0" w:line="100" w:lineRule="atLeast"/>
              <w:ind w:hanging="0" w:left="0" w:right="0"/>
              <w:contextualSpacing/>
            </w:pPr>
            <w:r>
              <w:rPr>
                <w:rFonts w:ascii="Times New Roman" w:hAnsi="Times New Roman"/>
                <w:b/>
                <w:sz w:val="20"/>
                <w:szCs w:val="24"/>
              </w:rPr>
              <w:t>Всего</w:t>
            </w:r>
          </w:p>
        </w:tc>
        <w:tc>
          <w:tcPr>
            <w:tcW w:type="dxa" w:w="33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4"/>
              </w:rPr>
            </w:r>
          </w:p>
        </w:tc>
        <w:tc>
          <w:tcPr>
            <w:tcW w:type="dxa" w:w="143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r>
          </w:p>
        </w:tc>
        <w:tc>
          <w:tcPr>
            <w:tcW w:type="dxa" w:w="11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4"/>
              </w:rPr>
            </w:r>
          </w:p>
        </w:tc>
        <w:tc>
          <w:tcPr>
            <w:tcW w:type="dxa" w:w="111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4"/>
              </w:rPr>
            </w:r>
          </w:p>
        </w:tc>
        <w:tc>
          <w:tcPr>
            <w:tcW w:type="dxa" w:w="112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4"/>
              </w:rPr>
            </w:r>
          </w:p>
        </w:tc>
        <w:tc>
          <w:tcPr>
            <w:tcW w:type="dxa" w:w="27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sz w:val="20"/>
                <w:szCs w:val="24"/>
              </w:rPr>
              <w:t>6 210,44</w:t>
            </w:r>
          </w:p>
        </w:tc>
      </w:tr>
    </w:tbl>
    <w:p>
      <w:pPr>
        <w:pStyle w:val="style1"/>
        <w:spacing w:after="0" w:before="0"/>
        <w:ind w:firstLine="709" w:left="0" w:right="0"/>
        <w:contextualSpacing w:val="false"/>
      </w:pPr>
      <w:bookmarkStart w:id="78" w:name="__RefHeading__3256_1577988068"/>
      <w:bookmarkStart w:id="79" w:name="_Toc445886214"/>
      <w:bookmarkEnd w:id="78"/>
      <w:bookmarkEnd w:id="79"/>
      <w:r>
        <w:rPr>
          <w:rFonts w:ascii="Times New Roman" w:cs="Times New Roman" w:hAnsi="Times New Roman"/>
          <w:bCs w:val="false"/>
          <w:color w:val="00000A"/>
          <w:sz w:val="24"/>
          <w:szCs w:val="24"/>
        </w:rPr>
        <w:t>7 Перспективные топливные балансы</w:t>
      </w:r>
    </w:p>
    <w:p>
      <w:pPr>
        <w:pStyle w:val="style0"/>
        <w:spacing w:after="0" w:before="0" w:line="100" w:lineRule="atLeast"/>
        <w:ind w:firstLine="709" w:left="0" w:right="0"/>
        <w:contextualSpacing w:val="false"/>
      </w:pPr>
      <w:r>
        <w:rPr>
          <w:rFonts w:ascii="Times New Roman" w:hAnsi="Times New Roman"/>
          <w:sz w:val="24"/>
        </w:rPr>
      </w:r>
    </w:p>
    <w:p>
      <w:pPr>
        <w:pStyle w:val="style0"/>
        <w:spacing w:after="0" w:before="0" w:line="100" w:lineRule="atLeast"/>
        <w:ind w:firstLine="709" w:left="0" w:right="0"/>
        <w:contextualSpacing w:val="false"/>
        <w:jc w:val="both"/>
      </w:pPr>
      <w:r>
        <w:rPr>
          <w:rFonts w:ascii="Times New Roman" w:hAnsi="Times New Roman"/>
          <w:sz w:val="24"/>
        </w:rPr>
        <w:t xml:space="preserve">Перспективные топливные балансы разработаны в соответствии подпунктом 6 пункта 3 и пунктом 23 Требований к схемам теплоснабжения. В результате разработки в соответствии с пунктом 23 Требований к схеме теплоснабжения должны быть решены следующие задачи: </w:t>
      </w:r>
    </w:p>
    <w:p>
      <w:pPr>
        <w:pStyle w:val="style0"/>
        <w:spacing w:after="0" w:before="0" w:line="100" w:lineRule="atLeast"/>
        <w:ind w:firstLine="709" w:left="0" w:right="0"/>
        <w:contextualSpacing w:val="false"/>
        <w:jc w:val="both"/>
      </w:pPr>
      <w:r>
        <w:rPr>
          <w:rFonts w:ascii="Times New Roman" w:hAnsi="Times New Roman"/>
          <w:sz w:val="24"/>
        </w:rPr>
        <w:t xml:space="preserve">• </w:t>
      </w:r>
      <w:r>
        <w:rPr>
          <w:rFonts w:ascii="Times New Roman" w:hAnsi="Times New Roman"/>
          <w:sz w:val="24"/>
        </w:rPr>
        <w:t>установлены перспективные объемы тепловой энергии, вырабатываемой на всех источниках тепловой энергии, обеспечивающие спрос на тепловую энергию и теплоноситель для потребителей, на собственные нужды котельных, на потери тепловой энергии при ее передаче по тепловым сетям;</w:t>
      </w:r>
    </w:p>
    <w:p>
      <w:pPr>
        <w:pStyle w:val="style0"/>
        <w:spacing w:after="0" w:before="0" w:line="100" w:lineRule="atLeast"/>
        <w:ind w:firstLine="709" w:left="0" w:right="0"/>
        <w:contextualSpacing w:val="false"/>
        <w:jc w:val="both"/>
      </w:pPr>
      <w:r>
        <w:rPr>
          <w:rFonts w:ascii="Times New Roman" w:hAnsi="Times New Roman"/>
          <w:sz w:val="24"/>
        </w:rPr>
        <w:t xml:space="preserve"> • </w:t>
      </w:r>
      <w:r>
        <w:rPr>
          <w:rFonts w:ascii="Times New Roman" w:hAnsi="Times New Roman"/>
          <w:sz w:val="24"/>
        </w:rPr>
        <w:t>установлены объемы топлива для обеспечения выработки тепловой энергии на каждом источнике тепловой энергии;</w:t>
      </w:r>
    </w:p>
    <w:p>
      <w:pPr>
        <w:pStyle w:val="style0"/>
        <w:spacing w:after="0" w:before="0" w:line="100" w:lineRule="atLeast"/>
        <w:ind w:firstLine="709" w:left="0" w:right="0"/>
        <w:contextualSpacing w:val="false"/>
        <w:jc w:val="both"/>
      </w:pPr>
      <w:r>
        <w:rPr>
          <w:rFonts w:ascii="Times New Roman" w:hAnsi="Times New Roman"/>
          <w:sz w:val="24"/>
        </w:rPr>
        <w:t xml:space="preserve"> • </w:t>
      </w:r>
      <w:r>
        <w:rPr>
          <w:rFonts w:ascii="Times New Roman" w:hAnsi="Times New Roman"/>
          <w:sz w:val="24"/>
        </w:rPr>
        <w:t>установлены показатели эффективности использования топлива и предлагаемого к использованию теплоэнергетического оборудования.</w:t>
      </w:r>
    </w:p>
    <w:p>
      <w:pPr>
        <w:pStyle w:val="style0"/>
        <w:spacing w:after="0" w:before="0" w:line="100" w:lineRule="atLeast"/>
        <w:ind w:firstLine="709" w:left="0" w:right="0"/>
        <w:contextualSpacing w:val="false"/>
        <w:jc w:val="both"/>
      </w:pPr>
      <w:r>
        <w:rPr>
          <w:rFonts w:ascii="Times New Roman" w:hAnsi="Times New Roman"/>
          <w:color w:val="000000"/>
          <w:sz w:val="28"/>
          <w:szCs w:val="23"/>
        </w:rPr>
      </w:r>
    </w:p>
    <w:p>
      <w:pPr>
        <w:pStyle w:val="style1"/>
        <w:spacing w:after="0" w:before="0"/>
        <w:ind w:firstLine="709" w:left="0" w:right="0"/>
        <w:contextualSpacing w:val="false"/>
        <w:jc w:val="both"/>
      </w:pPr>
      <w:bookmarkStart w:id="80" w:name="__RefHeading__3258_1577988068"/>
      <w:bookmarkStart w:id="81" w:name="_Toc445886215"/>
      <w:bookmarkEnd w:id="80"/>
      <w:r>
        <w:rPr>
          <w:rFonts w:ascii="Times New Roman" w:hAnsi="Times New Roman"/>
          <w:bCs w:val="false"/>
          <w:color w:val="00000A"/>
          <w:sz w:val="24"/>
          <w:szCs w:val="23"/>
        </w:rPr>
        <w:t xml:space="preserve">7.1. Перспективные топливные балансы источников теплоснабжения по котельной </w:t>
      </w:r>
      <w:bookmarkEnd w:id="81"/>
      <w:r>
        <w:rPr>
          <w:rFonts w:ascii="Times New Roman" w:hAnsi="Times New Roman"/>
          <w:color w:val="00000A"/>
          <w:sz w:val="24"/>
          <w:szCs w:val="24"/>
        </w:rPr>
        <w:t>ЖКХ «Зубово-Поляна»</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При прогнозировании необходимого количества топлива для котельной п. Дубитель рассматривался вариант обеспечения тепловой нагрузки от существующей котельной с наилучшими показателями работы (в частности – удельный расход топлива на отпуск тепла) или строительство новых котельных. </w:t>
      </w:r>
    </w:p>
    <w:p>
      <w:pPr>
        <w:pStyle w:val="style0"/>
        <w:spacing w:after="0" w:before="0" w:line="100" w:lineRule="atLeast"/>
        <w:ind w:firstLine="709" w:left="0" w:right="0"/>
        <w:contextualSpacing w:val="false"/>
        <w:jc w:val="both"/>
      </w:pPr>
      <w:r>
        <w:rPr>
          <w:rFonts w:ascii="Times New Roman" w:hAnsi="Times New Roman"/>
          <w:color w:val="000000"/>
          <w:sz w:val="24"/>
          <w:szCs w:val="23"/>
        </w:rPr>
        <w:t>Прогнозы по отпускаемой тепловой энергии и топливопотреблению рассматривалась по котельной, которая задействована в схеме теплоснабжения, со следующим допущением: отпуск тепловой энергии ведомственной котельной остаётся на уровне базового года. Перспективное значение удельных расходов топлива на отпуск тепловой энергии приведено на рисунке 7.1. и в таблице 7.1.</w:t>
      </w:r>
    </w:p>
    <w:p>
      <w:pPr>
        <w:pStyle w:val="style0"/>
        <w:spacing w:after="0" w:before="0" w:line="100" w:lineRule="atLeast"/>
        <w:ind w:firstLine="709" w:left="0" w:right="0"/>
        <w:contextualSpacing w:val="false"/>
      </w:pPr>
      <w:r>
        <w:rPr>
          <w:rFonts w:ascii="Times New Roman" w:hAnsi="Times New Roman"/>
          <w:color w:val="000000"/>
          <w:sz w:val="24"/>
          <w:szCs w:val="23"/>
        </w:rPr>
      </w:r>
    </w:p>
    <w:p>
      <w:pPr>
        <w:pStyle w:val="style0"/>
        <w:spacing w:after="0" w:before="0" w:line="100" w:lineRule="atLeast"/>
        <w:ind w:firstLine="709" w:left="0" w:right="0"/>
        <w:contextualSpacing w:val="false"/>
        <w:jc w:val="center"/>
      </w:pPr>
      <w:r>
        <w:rPr>
          <w:rFonts w:ascii="Times New Roman" w:hAnsi="Times New Roman"/>
          <w:i/>
          <w:color w:val="000000"/>
          <w:sz w:val="24"/>
          <w:szCs w:val="23"/>
        </w:rPr>
      </w:r>
    </w:p>
    <w:p>
      <w:pPr>
        <w:pStyle w:val="style0"/>
        <w:spacing w:after="0" w:before="0" w:line="100" w:lineRule="atLeast"/>
        <w:ind w:firstLine="709" w:left="0" w:right="0"/>
        <w:contextualSpacing w:val="false"/>
        <w:jc w:val="center"/>
      </w:pPr>
      <w:r>
        <w:rPr>
          <w:rFonts w:ascii="Times New Roman" w:hAnsi="Times New Roman"/>
          <w:i/>
          <w:sz w:val="24"/>
          <w:szCs w:val="23"/>
        </w:rPr>
      </w:r>
    </w:p>
    <w:p>
      <w:pPr>
        <w:sectPr>
          <w:footerReference r:id="rId6" w:type="default"/>
          <w:type w:val="nextPage"/>
          <w:pgSz w:h="11906" w:orient="landscape" w:w="16838"/>
          <w:pgMar w:bottom="1134" w:footer="709" w:gutter="0" w:header="0" w:left="992" w:right="1701" w:top="567"/>
          <w:pgNumType w:fmt="decimal"/>
          <w:formProt w:val="false"/>
          <w:textDirection w:val="lrTb"/>
          <w:docGrid w:charSpace="4096" w:linePitch="360" w:type="default"/>
        </w:sectPr>
        <w:pStyle w:val="style0"/>
        <w:spacing w:after="0" w:before="0" w:line="100" w:lineRule="atLeast"/>
        <w:ind w:firstLine="709" w:left="0" w:right="0"/>
        <w:contextualSpacing w:val="false"/>
        <w:jc w:val="center"/>
      </w:pPr>
      <w:r>
        <w:rPr>
          <w:rFonts w:ascii="Times New Roman" w:hAnsi="Times New Roman"/>
          <w:sz w:val="24"/>
          <w:szCs w:val="23"/>
        </w:rPr>
        <w:t>Рисунок 7.1. Динамика НУР топлива на период 2016-2030г.г.</w:t>
      </w:r>
    </w:p>
    <w:p>
      <w:pPr>
        <w:pStyle w:val="style0"/>
        <w:spacing w:after="0" w:before="0" w:line="100" w:lineRule="atLeast"/>
        <w:contextualSpacing w:val="false"/>
      </w:pPr>
      <w:r>
        <w:rPr>
          <w:rFonts w:ascii="Times New Roman" w:hAnsi="Times New Roman"/>
          <w:sz w:val="24"/>
          <w:szCs w:val="23"/>
        </w:rPr>
        <w:t>Таблица 7.1. Перспективные плановые значения удельных расходов топлива на отпуск тепловой энергии</w:t>
      </w:r>
    </w:p>
    <w:p>
      <w:pPr>
        <w:pStyle w:val="style0"/>
        <w:spacing w:after="0" w:before="0" w:line="100" w:lineRule="atLeast"/>
        <w:contextualSpacing w:val="false"/>
      </w:pPr>
      <w:r>
        <w:rPr>
          <w:rFonts w:ascii="Times New Roman" w:hAnsi="Times New Roman"/>
          <w:sz w:val="28"/>
          <w:szCs w:val="23"/>
        </w:rPr>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3793"/>
        <w:gridCol w:w="1329"/>
        <w:gridCol w:w="1448"/>
        <w:gridCol w:w="1448"/>
        <w:gridCol w:w="1448"/>
        <w:gridCol w:w="1448"/>
        <w:gridCol w:w="1448"/>
        <w:gridCol w:w="1448"/>
        <w:gridCol w:w="1447"/>
      </w:tblGrid>
      <w:tr>
        <w:trPr>
          <w:trHeight w:hRule="atLeast" w:val="260"/>
          <w:cantSplit w:val="false"/>
        </w:trPr>
        <w:tc>
          <w:tcPr>
            <w:tcW w:type="dxa" w:w="379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Показатель</w:t>
            </w:r>
          </w:p>
        </w:tc>
        <w:tc>
          <w:tcPr>
            <w:tcW w:type="dxa" w:w="13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Единицы измерения</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2016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2017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2018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2019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2020 г.</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2025 г.</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2030 г.</w:t>
            </w:r>
          </w:p>
        </w:tc>
      </w:tr>
      <w:tr>
        <w:trPr>
          <w:trHeight w:hRule="atLeast" w:val="250"/>
          <w:cantSplit w:val="false"/>
        </w:trPr>
        <w:tc>
          <w:tcPr>
            <w:tcW w:type="dxa" w:w="15257"/>
            <w:gridSpan w:val="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1"/>
              <w:spacing w:after="0" w:before="0" w:line="100" w:lineRule="atLeast"/>
              <w:ind w:firstLine="709" w:left="0" w:right="0"/>
              <w:contextualSpacing w:val="false"/>
              <w:jc w:val="center"/>
            </w:pPr>
            <w:bookmarkStart w:id="82" w:name="__RefHeading__3260_1577988068"/>
            <w:bookmarkStart w:id="83" w:name="_Toc445886216"/>
            <w:bookmarkEnd w:id="82"/>
            <w:r>
              <w:rPr>
                <w:rFonts w:ascii="Times New Roman" w:hAnsi="Times New Roman"/>
                <w:color w:val="000000"/>
                <w:sz w:val="20"/>
                <w:szCs w:val="20"/>
              </w:rPr>
              <w:t xml:space="preserve">Зона действия котельной </w:t>
            </w:r>
            <w:bookmarkEnd w:id="83"/>
            <w:r>
              <w:rPr>
                <w:rFonts w:ascii="Times New Roman" w:hAnsi="Times New Roman"/>
                <w:color w:val="00000A"/>
                <w:sz w:val="20"/>
                <w:szCs w:val="20"/>
              </w:rPr>
              <w:t>ЖКХ «Зубово-Поляна»</w:t>
            </w:r>
          </w:p>
        </w:tc>
      </w:tr>
      <w:tr>
        <w:trPr>
          <w:trHeight w:hRule="atLeast" w:val="250"/>
          <w:cantSplit w:val="false"/>
        </w:trPr>
        <w:tc>
          <w:tcPr>
            <w:tcW w:type="dxa" w:w="379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color w:val="000000"/>
                <w:sz w:val="20"/>
              </w:rPr>
              <w:t>Отпуск тепловой энергии</w:t>
            </w:r>
          </w:p>
        </w:tc>
        <w:tc>
          <w:tcPr>
            <w:tcW w:type="dxa" w:w="13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Гкал</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1619,35</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1619,35</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1619,35</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1619,35</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1619,35</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1619,35</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1619,35</w:t>
            </w:r>
          </w:p>
        </w:tc>
      </w:tr>
      <w:tr>
        <w:trPr>
          <w:trHeight w:hRule="atLeast" w:val="250"/>
          <w:cantSplit w:val="false"/>
        </w:trPr>
        <w:tc>
          <w:tcPr>
            <w:tcW w:type="dxa" w:w="379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color w:val="000000"/>
                <w:sz w:val="20"/>
              </w:rPr>
              <w:t>НУР топлива</w:t>
            </w:r>
          </w:p>
        </w:tc>
        <w:tc>
          <w:tcPr>
            <w:tcW w:type="dxa" w:w="132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кг.у.т.</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167,70</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167,70</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167,70</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167,70</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167,70</w:t>
            </w:r>
          </w:p>
        </w:tc>
        <w:tc>
          <w:tcPr>
            <w:tcW w:type="dxa" w:w="14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167,70</w:t>
            </w:r>
          </w:p>
        </w:tc>
        <w:tc>
          <w:tcPr>
            <w:tcW w:type="dxa" w:w="1447"/>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color w:val="000000"/>
                <w:sz w:val="20"/>
              </w:rPr>
              <w:t>167,70</w:t>
            </w:r>
          </w:p>
        </w:tc>
      </w:tr>
    </w:tbl>
    <w:p>
      <w:pPr>
        <w:pStyle w:val="style1"/>
        <w:spacing w:after="0" w:before="0"/>
        <w:ind w:firstLine="709" w:left="0" w:right="0"/>
        <w:contextualSpacing w:val="false"/>
        <w:jc w:val="both"/>
      </w:pPr>
      <w:bookmarkStart w:id="84" w:name="__RefHeading__3262_1577988068"/>
      <w:bookmarkStart w:id="85" w:name="_Toc445886217"/>
      <w:bookmarkEnd w:id="84"/>
      <w:r>
        <w:rPr>
          <w:rFonts w:ascii="Times New Roman" w:cs="Times New Roman" w:hAnsi="Times New Roman"/>
          <w:bCs w:val="false"/>
          <w:color w:val="00000A"/>
          <w:sz w:val="24"/>
          <w:szCs w:val="24"/>
        </w:rPr>
        <w:t>8 Инвестиции в строительство, реконструкцию и техническое перевооружение</w:t>
      </w:r>
      <w:bookmarkEnd w:id="85"/>
      <w:r>
        <w:rPr>
          <w:rFonts w:ascii="Times New Roman" w:cs="Times New Roman" w:hAnsi="Times New Roman"/>
          <w:bCs w:val="false"/>
          <w:color w:val="00000A"/>
          <w:sz w:val="24"/>
          <w:szCs w:val="24"/>
        </w:rPr>
        <w:t xml:space="preserve"> </w:t>
      </w:r>
    </w:p>
    <w:p>
      <w:pPr>
        <w:pStyle w:val="style1"/>
        <w:spacing w:after="0" w:before="0"/>
        <w:ind w:firstLine="709" w:left="0" w:right="0"/>
        <w:contextualSpacing w:val="false"/>
      </w:pPr>
      <w:bookmarkStart w:id="86" w:name="__RefHeading__3264_1577988068"/>
      <w:bookmarkStart w:id="87" w:name="_Toc445886218"/>
      <w:bookmarkEnd w:id="86"/>
      <w:r>
        <w:rPr>
          <w:rFonts w:ascii="Times New Roman" w:cs="Times New Roman" w:hAnsi="Times New Roman"/>
          <w:bCs w:val="false"/>
          <w:color w:val="00000A"/>
          <w:sz w:val="24"/>
          <w:szCs w:val="24"/>
        </w:rPr>
        <w:t>8.1 Общие положения</w:t>
      </w:r>
      <w:bookmarkEnd w:id="87"/>
      <w:r>
        <w:rPr>
          <w:rFonts w:ascii="Times New Roman" w:cs="Times New Roman" w:hAnsi="Times New Roman"/>
          <w:bCs w:val="false"/>
          <w:color w:val="00000A"/>
          <w:sz w:val="24"/>
          <w:szCs w:val="24"/>
        </w:rPr>
        <w:t xml:space="preserve"> </w:t>
      </w:r>
    </w:p>
    <w:p>
      <w:pPr>
        <w:pStyle w:val="style0"/>
        <w:spacing w:after="0" w:before="0" w:line="100" w:lineRule="atLeast"/>
        <w:ind w:firstLine="709" w:left="0" w:right="0"/>
        <w:contextualSpacing w:val="false"/>
      </w:pPr>
      <w:r>
        <w:rPr>
          <w:rFonts w:ascii="Times New Roman" w:cs="Times New Roman" w:hAnsi="Times New Roman"/>
          <w:color w:val="000000"/>
          <w:sz w:val="24"/>
          <w:szCs w:val="24"/>
        </w:rPr>
      </w:r>
    </w:p>
    <w:p>
      <w:pPr>
        <w:pStyle w:val="style35"/>
        <w:ind w:firstLine="709" w:left="0" w:right="0"/>
        <w:jc w:val="both"/>
      </w:pPr>
      <w:r>
        <w:rPr>
          <w:sz w:val="23"/>
          <w:szCs w:val="23"/>
        </w:rPr>
        <w:t xml:space="preserve">Оценка инвестиций и анализ ценовых (тарифных) последствий реализации проектов схемы теплоснабжения разрабатываются в соответствии подпунктом «ж» пункта 4, пунктом 13 и </w:t>
      </w:r>
      <w:r>
        <w:rPr>
          <w:rFonts w:cs="Calibri"/>
          <w:sz w:val="23"/>
          <w:szCs w:val="23"/>
          <w:lang w:eastAsia="en-US"/>
        </w:rPr>
        <w:t xml:space="preserve">пунктом 48 «Требований к схемам теплоснабжения», утвержденных постановлением Правительства РФ № 154 от 22 февраля 2012 года.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В соответствии с пунктами 13 и 48 Требований к схеме теплоснабжения должны быть разработаны и обоснованы: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 </w:t>
      </w:r>
      <w:r>
        <w:rPr>
          <w:rFonts w:ascii="Times New Roman" w:hAnsi="Times New Roman"/>
          <w:color w:val="000000"/>
          <w:sz w:val="24"/>
          <w:szCs w:val="23"/>
        </w:rPr>
        <w:t xml:space="preserve">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 </w:t>
      </w:r>
      <w:r>
        <w:rPr>
          <w:rFonts w:ascii="Times New Roman" w:hAnsi="Times New Roman"/>
          <w:color w:val="000000"/>
          <w:sz w:val="24"/>
          <w:szCs w:val="23"/>
        </w:rPr>
        <w:t xml:space="preserve">предложения по величине необходимых инвестиций в строительство, реконструкцию и техническое перевооружение тепловых сетей и тепловых пунктов на каждом этапе;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 </w:t>
      </w:r>
      <w:r>
        <w:rPr>
          <w:rFonts w:ascii="Times New Roman" w:hAnsi="Times New Roman"/>
          <w:color w:val="000000"/>
          <w:sz w:val="24"/>
          <w:szCs w:val="23"/>
        </w:rPr>
        <w:t>предложения по источникам инвестиций, обеспечивающих финансовые потребности.</w:t>
      </w:r>
    </w:p>
    <w:p>
      <w:pPr>
        <w:pStyle w:val="style0"/>
        <w:spacing w:after="0" w:before="0" w:line="100" w:lineRule="atLeast"/>
        <w:ind w:firstLine="709" w:left="0" w:right="0"/>
        <w:contextualSpacing w:val="false"/>
      </w:pPr>
      <w:r>
        <w:rPr>
          <w:rFonts w:ascii="Times New Roman" w:cs="Times New Roman" w:hAnsi="Times New Roman"/>
          <w:b/>
          <w:bCs/>
          <w:color w:val="000000"/>
          <w:sz w:val="24"/>
          <w:szCs w:val="24"/>
        </w:rPr>
      </w:r>
    </w:p>
    <w:p>
      <w:pPr>
        <w:pStyle w:val="style1"/>
        <w:spacing w:after="0" w:before="0"/>
        <w:ind w:firstLine="709" w:left="0" w:right="0"/>
        <w:contextualSpacing w:val="false"/>
        <w:jc w:val="both"/>
      </w:pPr>
      <w:bookmarkStart w:id="88" w:name="__RefHeading__3266_1577988068"/>
      <w:bookmarkStart w:id="89" w:name="_Toc445886219"/>
      <w:bookmarkEnd w:id="88"/>
      <w:r>
        <w:rPr>
          <w:rFonts w:ascii="Times New Roman" w:cs="Times New Roman" w:hAnsi="Times New Roman"/>
          <w:bCs w:val="false"/>
          <w:color w:val="00000A"/>
          <w:sz w:val="24"/>
          <w:szCs w:val="24"/>
        </w:rPr>
        <w:t xml:space="preserve">8.2 </w:t>
      </w:r>
      <w:r>
        <w:rPr>
          <w:rFonts w:ascii="Times New Roman" w:cs="Calibri" w:hAnsi="Times New Roman"/>
          <w:color w:val="000000"/>
          <w:sz w:val="24"/>
          <w:szCs w:val="24"/>
        </w:rPr>
        <w:t xml:space="preserve">Инвестиции в техническое перевооружение котельных </w:t>
      </w:r>
      <w:bookmarkEnd w:id="89"/>
      <w:r>
        <w:rPr>
          <w:rFonts w:ascii="Times New Roman" w:hAnsi="Times New Roman"/>
          <w:color w:val="000000"/>
          <w:sz w:val="24"/>
          <w:szCs w:val="23"/>
        </w:rPr>
        <w:t>п. Дубитель</w:t>
      </w:r>
    </w:p>
    <w:p>
      <w:pPr>
        <w:pStyle w:val="style0"/>
        <w:spacing w:after="0" w:before="0" w:line="100" w:lineRule="atLeast"/>
        <w:ind w:firstLine="709" w:left="0" w:right="0"/>
        <w:contextualSpacing w:val="false"/>
      </w:pPr>
      <w:r>
        <w:rPr>
          <w:rFonts w:ascii="Times New Roman" w:cs="Times New Roman" w:hAnsi="Times New Roman"/>
          <w:b/>
          <w:bCs/>
          <w:color w:val="000000"/>
          <w:sz w:val="24"/>
          <w:szCs w:val="24"/>
        </w:rPr>
        <w:t xml:space="preserve"> </w:t>
      </w:r>
    </w:p>
    <w:p>
      <w:pPr>
        <w:pStyle w:val="style0"/>
        <w:spacing w:after="0" w:before="0" w:line="100" w:lineRule="atLeast"/>
        <w:ind w:firstLine="709" w:left="0" w:right="0"/>
        <w:contextualSpacing w:val="false"/>
        <w:jc w:val="both"/>
      </w:pPr>
      <w:r>
        <w:rPr>
          <w:rFonts w:ascii="Times New Roman" w:hAnsi="Times New Roman"/>
          <w:color w:val="000000"/>
          <w:sz w:val="24"/>
          <w:szCs w:val="24"/>
        </w:rPr>
        <w:t xml:space="preserve">Предложения по техническому перевооружению источников тепловой энергии сформированы на основе мероприятия, прописанного в Обосновывающих материалах к схеме теплоснабжения. </w:t>
      </w:r>
    </w:p>
    <w:p>
      <w:pPr>
        <w:pStyle w:val="style0"/>
        <w:spacing w:after="0" w:before="0" w:line="100" w:lineRule="atLeast"/>
        <w:ind w:firstLine="709" w:left="0" w:right="0"/>
        <w:contextualSpacing w:val="false"/>
        <w:jc w:val="both"/>
      </w:pPr>
      <w:r>
        <w:rPr>
          <w:rFonts w:ascii="Times New Roman" w:hAnsi="Times New Roman"/>
          <w:color w:val="000000"/>
          <w:sz w:val="24"/>
          <w:szCs w:val="24"/>
        </w:rPr>
        <w:t xml:space="preserve">Капитальные вложения в строительство новой блочно-модульной котельной в </w:t>
      </w:r>
      <w:r>
        <w:rPr>
          <w:rFonts w:ascii="Times New Roman" w:hAnsi="Times New Roman"/>
          <w:color w:val="000000"/>
          <w:sz w:val="24"/>
          <w:szCs w:val="23"/>
        </w:rPr>
        <w:t xml:space="preserve">п. Дубитель </w:t>
      </w:r>
      <w:r>
        <w:rPr>
          <w:rFonts w:ascii="Times New Roman" w:hAnsi="Times New Roman"/>
          <w:color w:val="000000"/>
          <w:sz w:val="24"/>
          <w:szCs w:val="24"/>
        </w:rPr>
        <w:t>представлены в таблице 8.1.</w:t>
      </w:r>
    </w:p>
    <w:p>
      <w:pPr>
        <w:pStyle w:val="style0"/>
        <w:spacing w:after="0" w:before="0" w:line="100" w:lineRule="atLeast"/>
        <w:contextualSpacing w:val="false"/>
      </w:pPr>
      <w:r>
        <w:rPr>
          <w:rFonts w:ascii="Times New Roman" w:hAnsi="Times New Roman"/>
          <w:sz w:val="24"/>
          <w:szCs w:val="23"/>
        </w:rPr>
        <w:t xml:space="preserve">Таблица 8.1. Финансовые потребности в реализацию проекта по техническому перевооружению котельной </w:t>
      </w:r>
      <w:r>
        <w:rPr>
          <w:rFonts w:ascii="Times New Roman" w:hAnsi="Times New Roman"/>
          <w:color w:val="000000"/>
          <w:sz w:val="24"/>
          <w:szCs w:val="23"/>
        </w:rPr>
        <w:t>п. Дубитель</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2235"/>
        <w:gridCol w:w="4110"/>
        <w:gridCol w:w="1843"/>
        <w:gridCol w:w="1948"/>
      </w:tblGrid>
      <w:tr>
        <w:trPr>
          <w:cantSplit w:val="false"/>
        </w:trPr>
        <w:tc>
          <w:tcPr>
            <w:tcW w:type="dxa" w:w="223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Наименование объекта</w:t>
            </w:r>
          </w:p>
        </w:tc>
        <w:tc>
          <w:tcPr>
            <w:tcW w:type="dxa" w:w="411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Мероприятия</w:t>
            </w:r>
          </w:p>
        </w:tc>
        <w:tc>
          <w:tcPr>
            <w:tcW w:type="dxa" w:w="184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Год ввода в эксплуатацию</w:t>
            </w:r>
          </w:p>
        </w:tc>
        <w:tc>
          <w:tcPr>
            <w:tcW w:type="dxa" w:w="19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Финансовые потребности, тыс.руб., без НДС</w:t>
            </w:r>
          </w:p>
        </w:tc>
      </w:tr>
      <w:tr>
        <w:trPr>
          <w:cantSplit w:val="false"/>
        </w:trPr>
        <w:tc>
          <w:tcPr>
            <w:tcW w:type="dxa" w:w="223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Котельная</w:t>
            </w:r>
          </w:p>
        </w:tc>
        <w:tc>
          <w:tcPr>
            <w:tcW w:type="dxa" w:w="4110"/>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Установка новой модульной котельной</w:t>
            </w:r>
          </w:p>
        </w:tc>
        <w:tc>
          <w:tcPr>
            <w:tcW w:type="dxa" w:w="184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2016</w:t>
            </w:r>
          </w:p>
        </w:tc>
        <w:tc>
          <w:tcPr>
            <w:tcW w:type="dxa" w:w="194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rPr>
              <w:t>4 024,548</w:t>
            </w:r>
          </w:p>
        </w:tc>
      </w:tr>
      <w:tr>
        <w:trPr>
          <w:cantSplit w:val="false"/>
        </w:trPr>
        <w:tc>
          <w:tcPr>
            <w:tcW w:type="dxa" w:w="8187"/>
            <w:gridSpan w:val="3"/>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b/>
                <w:sz w:val="20"/>
                <w:szCs w:val="20"/>
              </w:rPr>
              <w:t>ИТОГО</w:t>
            </w:r>
          </w:p>
        </w:tc>
        <w:tc>
          <w:tcPr>
            <w:tcW w:type="dxa" w:w="1949"/>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4 024,548</w:t>
            </w:r>
          </w:p>
        </w:tc>
      </w:tr>
    </w:tbl>
    <w:p>
      <w:pPr>
        <w:pStyle w:val="style0"/>
        <w:spacing w:after="0" w:before="0" w:line="100" w:lineRule="atLeast"/>
        <w:ind w:firstLine="709" w:left="0" w:right="0"/>
        <w:contextualSpacing w:val="false"/>
      </w:pPr>
      <w:r>
        <w:rPr>
          <w:rFonts w:ascii="Times New Roman" w:hAnsi="Times New Roman"/>
          <w:b/>
          <w:bCs/>
          <w:sz w:val="24"/>
          <w:szCs w:val="23"/>
        </w:rPr>
      </w:r>
    </w:p>
    <w:p>
      <w:pPr>
        <w:pStyle w:val="style1"/>
        <w:spacing w:after="0" w:before="0"/>
        <w:ind w:firstLine="709" w:left="0" w:right="0"/>
        <w:contextualSpacing w:val="false"/>
        <w:jc w:val="both"/>
      </w:pPr>
      <w:bookmarkStart w:id="90" w:name="__RefHeading__3268_1577988068"/>
      <w:bookmarkStart w:id="91" w:name="_Toc445886220"/>
      <w:bookmarkEnd w:id="90"/>
      <w:bookmarkEnd w:id="91"/>
      <w:r>
        <w:rPr>
          <w:rFonts w:ascii="Times New Roman" w:hAnsi="Times New Roman"/>
          <w:bCs w:val="false"/>
          <w:color w:val="00000A"/>
          <w:sz w:val="24"/>
          <w:szCs w:val="23"/>
        </w:rPr>
        <w:t>8.3. Инвестиции в строительство, реконструкцию и техническое перевооружение тепловых сетей и сооружений на них</w:t>
      </w:r>
    </w:p>
    <w:p>
      <w:pPr>
        <w:pStyle w:val="style0"/>
        <w:spacing w:after="0" w:before="0" w:line="100" w:lineRule="atLeast"/>
        <w:ind w:firstLine="709" w:left="0" w:right="0"/>
        <w:contextualSpacing w:val="false"/>
      </w:pPr>
      <w:r>
        <w:rPr>
          <w:rFonts w:ascii="Times New Roman" w:hAnsi="Times New Roman"/>
          <w:b/>
          <w:bCs/>
          <w:sz w:val="24"/>
          <w:szCs w:val="23"/>
        </w:rPr>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Оценка стоимости капитальных вложений в реконструкцию и новое строительство тепловых сетей осуществлялась по укрупненным показателям базисных стоимостей по видам 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pPr>
        <w:pStyle w:val="style0"/>
        <w:spacing w:after="0" w:before="0" w:line="100" w:lineRule="atLeast"/>
        <w:ind w:firstLine="709" w:left="0" w:right="0"/>
        <w:contextualSpacing w:val="false"/>
        <w:jc w:val="both"/>
      </w:pPr>
      <w:r>
        <w:rPr>
          <w:rFonts w:ascii="Times New Roman" w:hAnsi="Times New Roman"/>
          <w:color w:val="000000"/>
          <w:sz w:val="24"/>
          <w:szCs w:val="23"/>
        </w:rPr>
        <w:t xml:space="preserve">Полная сметная стоимость каждого проекта приведена в таблице 8.2. Согласно данной таблице полная стоимость проектов в ценах 2015 г. c учетом НДС составляет 14 197,178 тыс. руб. </w:t>
      </w:r>
    </w:p>
    <w:p>
      <w:pPr>
        <w:pStyle w:val="style0"/>
        <w:spacing w:after="0" w:before="0" w:line="100" w:lineRule="atLeast"/>
        <w:contextualSpacing w:val="false"/>
        <w:jc w:val="both"/>
      </w:pPr>
      <w:r>
        <w:rPr>
          <w:rFonts w:ascii="Times New Roman" w:hAnsi="Times New Roman"/>
          <w:color w:val="000000"/>
          <w:sz w:val="24"/>
          <w:szCs w:val="23"/>
        </w:rPr>
        <w:t>Таблица 8.2. Финансовые потребности в реализацию проектов по развитию системы теплоснабжения части тепловых сетей (тыс. руб. без учетом НДС в ценах 2015 г.)</w:t>
      </w:r>
    </w:p>
    <w:tbl>
      <w:tblPr>
        <w:jc w:val="left"/>
        <w:tblInd w:type="dxa" w:w="0"/>
        <w:tblBorders>
          <w:top w:color="00000A" w:space="0" w:sz="8" w:val="single"/>
          <w:left w:color="00000A" w:space="0" w:sz="8" w:val="single"/>
          <w:bottom w:color="00000A" w:space="0" w:sz="8" w:val="single"/>
          <w:insideH w:color="00000A" w:space="0" w:sz="8" w:val="single"/>
          <w:right w:color="00000A" w:space="0" w:sz="8" w:val="single"/>
          <w:insideV w:color="00000A" w:space="0" w:sz="8" w:val="single"/>
        </w:tblBorders>
        <w:tblCellMar>
          <w:top w:type="dxa" w:w="0"/>
          <w:left w:type="dxa" w:w="107"/>
          <w:bottom w:type="dxa" w:w="0"/>
          <w:right w:type="dxa" w:w="108"/>
        </w:tblCellMar>
      </w:tblPr>
      <w:tblGrid>
        <w:gridCol w:w="5495"/>
        <w:gridCol w:w="1984"/>
        <w:gridCol w:w="2658"/>
      </w:tblGrid>
      <w:tr>
        <w:trPr>
          <w:cantSplit w:val="false"/>
        </w:trPr>
        <w:tc>
          <w:tcPr>
            <w:tcW w:type="dxa" w:w="54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Наименование проекта</w:t>
            </w:r>
          </w:p>
        </w:tc>
        <w:tc>
          <w:tcPr>
            <w:tcW w:type="dxa" w:w="198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Период реализации проекта</w:t>
            </w:r>
          </w:p>
        </w:tc>
        <w:tc>
          <w:tcPr>
            <w:tcW w:type="dxa" w:w="265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Стоимость мероприятия в ценах 2015 г., с НДС, тыс. руб.</w:t>
            </w:r>
          </w:p>
        </w:tc>
      </w:tr>
      <w:tr>
        <w:trPr>
          <w:cantSplit w:val="false"/>
        </w:trPr>
        <w:tc>
          <w:tcPr>
            <w:tcW w:type="dxa" w:w="54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sz w:val="20"/>
                <w:szCs w:val="20"/>
              </w:rPr>
              <w:t>Проектно-сметная документация</w:t>
            </w:r>
          </w:p>
        </w:tc>
        <w:tc>
          <w:tcPr>
            <w:tcW w:type="dxa" w:w="198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2016-2017 г.г.</w:t>
            </w:r>
          </w:p>
        </w:tc>
        <w:tc>
          <w:tcPr>
            <w:tcW w:type="dxa" w:w="265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250,00</w:t>
            </w:r>
          </w:p>
        </w:tc>
      </w:tr>
      <w:tr>
        <w:trPr>
          <w:cantSplit w:val="false"/>
        </w:trPr>
        <w:tc>
          <w:tcPr>
            <w:tcW w:type="dxa" w:w="54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sz w:val="20"/>
                <w:szCs w:val="20"/>
              </w:rPr>
              <w:t>Строительство котельной</w:t>
            </w:r>
          </w:p>
        </w:tc>
        <w:tc>
          <w:tcPr>
            <w:tcW w:type="dxa" w:w="198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2016-2017 г.г.</w:t>
            </w:r>
          </w:p>
        </w:tc>
        <w:tc>
          <w:tcPr>
            <w:tcW w:type="dxa" w:w="265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0"/>
              </w:rPr>
              <w:t>4 024,548</w:t>
            </w:r>
          </w:p>
        </w:tc>
      </w:tr>
      <w:tr>
        <w:trPr>
          <w:cantSplit w:val="false"/>
        </w:trPr>
        <w:tc>
          <w:tcPr>
            <w:tcW w:type="dxa" w:w="54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sz w:val="20"/>
                <w:szCs w:val="24"/>
              </w:rPr>
              <w:t>Реконструкция тепловых сетей с оптимизацией диаметров трубопровода</w:t>
            </w:r>
          </w:p>
        </w:tc>
        <w:tc>
          <w:tcPr>
            <w:tcW w:type="dxa" w:w="198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2016-2020 г.г.</w:t>
            </w:r>
          </w:p>
        </w:tc>
        <w:tc>
          <w:tcPr>
            <w:tcW w:type="dxa" w:w="265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3 712,19</w:t>
            </w:r>
          </w:p>
        </w:tc>
      </w:tr>
      <w:tr>
        <w:trPr>
          <w:cantSplit w:val="false"/>
        </w:trPr>
        <w:tc>
          <w:tcPr>
            <w:tcW w:type="dxa" w:w="54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sz w:val="20"/>
                <w:szCs w:val="24"/>
              </w:rPr>
              <w:t>Реконструкция тепловых сетей в связи с исчерпанием срока эксплуатации</w:t>
            </w:r>
          </w:p>
        </w:tc>
        <w:tc>
          <w:tcPr>
            <w:tcW w:type="dxa" w:w="198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2016-2020 г.г.</w:t>
            </w:r>
          </w:p>
        </w:tc>
        <w:tc>
          <w:tcPr>
            <w:tcW w:type="dxa" w:w="265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t>6 210,44</w:t>
            </w:r>
          </w:p>
        </w:tc>
      </w:tr>
      <w:tr>
        <w:trPr>
          <w:cantSplit w:val="false"/>
        </w:trPr>
        <w:tc>
          <w:tcPr>
            <w:tcW w:type="dxa" w:w="5495"/>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pPr>
            <w:r>
              <w:rPr>
                <w:rFonts w:ascii="Times New Roman" w:hAnsi="Times New Roman"/>
                <w:b/>
                <w:sz w:val="20"/>
                <w:szCs w:val="24"/>
              </w:rPr>
              <w:t>ИТОГО</w:t>
            </w:r>
          </w:p>
        </w:tc>
        <w:tc>
          <w:tcPr>
            <w:tcW w:type="dxa" w:w="1984"/>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sz w:val="20"/>
                <w:szCs w:val="24"/>
              </w:rPr>
            </w:r>
          </w:p>
        </w:tc>
        <w:tc>
          <w:tcPr>
            <w:tcW w:type="dxa" w:w="2658"/>
            <w:tcBorders>
              <w:top w:color="00000A" w:space="0" w:sz="8" w:val="single"/>
              <w:left w:color="00000A" w:space="0" w:sz="8" w:val="single"/>
              <w:bottom w:color="00000A" w:space="0" w:sz="8" w:val="single"/>
              <w:right w:color="00000A" w:space="0" w:sz="8" w:val="single"/>
            </w:tcBorders>
            <w:shd w:fill="auto" w:val="clear"/>
            <w:tcMar>
              <w:left w:type="dxa" w:w="107"/>
            </w:tcMar>
            <w:vAlign w:val="center"/>
          </w:tcPr>
          <w:p>
            <w:pPr>
              <w:pStyle w:val="style0"/>
              <w:spacing w:after="0" w:before="0" w:line="100" w:lineRule="atLeast"/>
              <w:contextualSpacing w:val="false"/>
              <w:jc w:val="center"/>
            </w:pPr>
            <w:r>
              <w:rPr>
                <w:rFonts w:ascii="Times New Roman" w:hAnsi="Times New Roman"/>
                <w:b/>
                <w:color w:val="000000"/>
              </w:rPr>
              <w:t>14 197,178</w:t>
            </w:r>
          </w:p>
        </w:tc>
      </w:tr>
    </w:tbl>
    <w:p>
      <w:pPr>
        <w:pStyle w:val="style1"/>
        <w:spacing w:after="0" w:before="0"/>
        <w:ind w:firstLine="709" w:left="0" w:right="0"/>
        <w:contextualSpacing w:val="false"/>
      </w:pPr>
      <w:bookmarkStart w:id="92" w:name="__RefHeading__3270_1577988068"/>
      <w:bookmarkStart w:id="93" w:name="_Toc445886221"/>
      <w:bookmarkEnd w:id="92"/>
      <w:bookmarkEnd w:id="93"/>
      <w:r>
        <w:rPr>
          <w:rFonts w:ascii="Times New Roman" w:cs="Times New Roman" w:hAnsi="Times New Roman"/>
          <w:bCs w:val="false"/>
          <w:color w:val="00000A"/>
          <w:sz w:val="24"/>
          <w:szCs w:val="23"/>
        </w:rPr>
        <w:t>9 Решение об определении единой теплоснабжающей организации (организаций)</w:t>
      </w:r>
    </w:p>
    <w:p>
      <w:pPr>
        <w:pStyle w:val="style0"/>
        <w:spacing w:after="0" w:before="0" w:line="100" w:lineRule="atLeast"/>
        <w:ind w:firstLine="709" w:left="0" w:right="0"/>
        <w:contextualSpacing w:val="false"/>
      </w:pPr>
      <w:r>
        <w:rPr>
          <w:rFonts w:ascii="Times New Roman" w:cs="Times New Roman" w:hAnsi="Times New Roman"/>
          <w:b/>
          <w:bCs/>
          <w:color w:val="000000"/>
          <w:sz w:val="24"/>
          <w:szCs w:val="23"/>
        </w:rPr>
        <w:t xml:space="preserve"> </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3"/>
        </w:rPr>
        <w:t xml:space="preserve">В схеме теплоснабжения установлена следующая зона действия изолированных систем теплоснабжения (см. «Существующее положение в сфере производства, передачи и потребления тепловой энергии для целей теплоснабжения»). Зона действия, образованная на базе источника тепловой энергии котельной </w:t>
      </w:r>
      <w:r>
        <w:rPr>
          <w:rFonts w:ascii="Times New Roman" w:hAnsi="Times New Roman"/>
          <w:color w:val="000000"/>
          <w:sz w:val="24"/>
          <w:szCs w:val="23"/>
        </w:rPr>
        <w:t>ЖКХ «Зубово-Поляна»</w:t>
      </w:r>
      <w:r>
        <w:rPr>
          <w:rFonts w:ascii="Times New Roman" w:cs="Times New Roman" w:hAnsi="Times New Roman"/>
          <w:color w:val="000000"/>
          <w:sz w:val="24"/>
          <w:szCs w:val="23"/>
        </w:rPr>
        <w:t xml:space="preserve">. Тепловые сети в рассматриваемой зоне деятельности находятся в хозяйственном ведение и эксплуатируются </w:t>
      </w:r>
      <w:r>
        <w:rPr>
          <w:rFonts w:ascii="Times New Roman" w:hAnsi="Times New Roman"/>
          <w:color w:val="000000"/>
          <w:sz w:val="24"/>
          <w:szCs w:val="23"/>
        </w:rPr>
        <w:t xml:space="preserve">ЖКХ «Зубово-Поляна». </w:t>
      </w:r>
      <w:r>
        <w:rPr>
          <w:rFonts w:ascii="Times New Roman" w:cs="Times New Roman" w:hAnsi="Times New Roman"/>
          <w:color w:val="000000"/>
          <w:sz w:val="24"/>
          <w:szCs w:val="23"/>
        </w:rPr>
        <w:t xml:space="preserve">Перспективная зона деятельности энергоисточников сохраняется до 2030 года в основном в границах, действующих на 01.01.2015 года. </w:t>
      </w:r>
    </w:p>
    <w:p>
      <w:pPr>
        <w:pStyle w:val="style0"/>
        <w:tabs>
          <w:tab w:leader="none" w:pos="0" w:val="left"/>
        </w:tabs>
        <w:spacing w:after="0" w:before="0" w:line="100" w:lineRule="atLeast"/>
        <w:contextualSpacing w:val="false"/>
      </w:pPr>
      <w:r>
        <w:rPr>
          <w:rFonts w:ascii="Times New Roman" w:cs="Times New Roman" w:hAnsi="Times New Roman"/>
          <w:b/>
          <w:sz w:val="24"/>
          <w:szCs w:val="24"/>
        </w:rPr>
      </w:r>
    </w:p>
    <w:p>
      <w:pPr>
        <w:pStyle w:val="style1"/>
        <w:spacing w:after="0" w:before="0"/>
        <w:ind w:firstLine="709" w:left="0" w:right="0"/>
        <w:contextualSpacing w:val="false"/>
        <w:jc w:val="both"/>
      </w:pPr>
      <w:bookmarkStart w:id="94" w:name="__RefHeading__3272_1577988068"/>
      <w:bookmarkStart w:id="95" w:name="_Toc445886222"/>
      <w:bookmarkEnd w:id="94"/>
      <w:r>
        <w:rPr>
          <w:rFonts w:ascii="Times New Roman" w:cs="Times New Roman" w:hAnsi="Times New Roman"/>
          <w:bCs w:val="false"/>
          <w:color w:val="00000A"/>
          <w:sz w:val="24"/>
          <w:szCs w:val="23"/>
        </w:rPr>
        <w:t>10 Решения о распределении тепловой нагрузки между источниками тепловой энергий</w:t>
      </w:r>
      <w:bookmarkEnd w:id="95"/>
      <w:r>
        <w:rPr>
          <w:rFonts w:ascii="Times New Roman" w:cs="Times New Roman" w:hAnsi="Times New Roman"/>
          <w:bCs w:val="false"/>
          <w:color w:val="00000A"/>
          <w:sz w:val="24"/>
          <w:szCs w:val="23"/>
        </w:rPr>
        <w:t xml:space="preserve"> </w:t>
      </w:r>
    </w:p>
    <w:p>
      <w:pPr>
        <w:pStyle w:val="style0"/>
        <w:spacing w:after="0" w:before="0" w:line="100" w:lineRule="atLeast"/>
        <w:ind w:firstLine="709" w:left="0" w:right="0"/>
        <w:contextualSpacing w:val="false"/>
      </w:pPr>
      <w:r>
        <w:rPr>
          <w:rFonts w:ascii="Times New Roman" w:cs="Times New Roman" w:hAnsi="Times New Roman"/>
          <w:color w:val="000000"/>
          <w:sz w:val="24"/>
          <w:szCs w:val="23"/>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3"/>
        </w:rPr>
        <w:t xml:space="preserve">Основным источником теплоснабжения во всем рассматриваемом периоде являются котельная </w:t>
      </w:r>
      <w:r>
        <w:rPr>
          <w:rFonts w:ascii="Times New Roman" w:hAnsi="Times New Roman"/>
          <w:color w:val="000000"/>
          <w:sz w:val="24"/>
          <w:szCs w:val="23"/>
        </w:rPr>
        <w:t>ЖКХ «Зубово-Поляна»</w:t>
      </w:r>
      <w:r>
        <w:rPr>
          <w:rFonts w:ascii="Times New Roman" w:cs="Times New Roman" w:hAnsi="Times New Roman"/>
          <w:color w:val="000000"/>
          <w:sz w:val="24"/>
          <w:szCs w:val="23"/>
        </w:rPr>
        <w:t xml:space="preserve">, на которые в 2015 году приходится 100% присоединенной нагрузки жилых и общественных зданий </w:t>
      </w:r>
      <w:r>
        <w:rPr>
          <w:rFonts w:ascii="Times New Roman" w:hAnsi="Times New Roman"/>
          <w:color w:val="000000"/>
          <w:sz w:val="24"/>
          <w:szCs w:val="23"/>
        </w:rPr>
        <w:t>п. Дубитель</w:t>
      </w:r>
      <w:r>
        <w:rPr>
          <w:rFonts w:ascii="Times New Roman" w:cs="Times New Roman" w:hAnsi="Times New Roman"/>
          <w:color w:val="000000"/>
          <w:sz w:val="24"/>
          <w:szCs w:val="23"/>
        </w:rPr>
        <w:t>.</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3"/>
        </w:rPr>
      </w:r>
    </w:p>
    <w:p>
      <w:pPr>
        <w:pStyle w:val="style1"/>
        <w:spacing w:after="0" w:before="0"/>
        <w:ind w:firstLine="709" w:left="0" w:right="0"/>
        <w:contextualSpacing w:val="false"/>
      </w:pPr>
      <w:bookmarkStart w:id="96" w:name="__RefHeading__3274_1577988068"/>
      <w:bookmarkStart w:id="97" w:name="_Toc445886223"/>
      <w:bookmarkEnd w:id="96"/>
      <w:r>
        <w:rPr>
          <w:rFonts w:ascii="Times New Roman" w:cs="Times New Roman" w:hAnsi="Times New Roman"/>
          <w:bCs w:val="false"/>
          <w:color w:val="00000A"/>
          <w:sz w:val="24"/>
          <w:szCs w:val="23"/>
        </w:rPr>
        <w:t>11 Решения по бесхозяйным тепловым сетям</w:t>
      </w:r>
      <w:bookmarkEnd w:id="97"/>
      <w:r>
        <w:rPr>
          <w:rFonts w:ascii="Times New Roman" w:cs="Times New Roman" w:hAnsi="Times New Roman"/>
          <w:bCs w:val="false"/>
          <w:color w:val="00000A"/>
          <w:sz w:val="24"/>
          <w:szCs w:val="23"/>
        </w:rPr>
        <w:t xml:space="preserve"> </w:t>
      </w:r>
    </w:p>
    <w:p>
      <w:pPr>
        <w:pStyle w:val="style0"/>
        <w:spacing w:after="0" w:before="0" w:line="100" w:lineRule="atLeast"/>
        <w:ind w:firstLine="709" w:left="0" w:right="0"/>
        <w:contextualSpacing w:val="false"/>
      </w:pPr>
      <w:r>
        <w:rPr>
          <w:rFonts w:ascii="Times New Roman" w:cs="Times New Roman" w:hAnsi="Times New Roman"/>
          <w:color w:val="000000"/>
          <w:sz w:val="24"/>
          <w:szCs w:val="23"/>
        </w:rPr>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3"/>
        </w:rPr>
        <w:t xml:space="preserve">На 2015 год тепловые сети по которым осуществляется транспортировка тепловой энергии до потребителя находятся в собственности </w:t>
      </w:r>
      <w:r>
        <w:rPr>
          <w:rFonts w:ascii="Times New Roman" w:hAnsi="Times New Roman"/>
          <w:color w:val="000000"/>
          <w:sz w:val="24"/>
          <w:szCs w:val="23"/>
        </w:rPr>
        <w:t>п. Дубитель</w:t>
      </w:r>
      <w:r>
        <w:rPr>
          <w:rFonts w:ascii="Times New Roman" w:cs="Times New Roman" w:hAnsi="Times New Roman"/>
          <w:color w:val="000000"/>
          <w:sz w:val="24"/>
          <w:szCs w:val="23"/>
        </w:rPr>
        <w:t>. Отдельные вводные участки на балансе организаций.</w:t>
      </w:r>
    </w:p>
    <w:p>
      <w:pPr>
        <w:pStyle w:val="style0"/>
        <w:spacing w:after="0" w:before="0" w:line="100" w:lineRule="atLeast"/>
        <w:ind w:firstLine="709" w:left="0" w:right="0"/>
        <w:contextualSpacing w:val="false"/>
        <w:jc w:val="both"/>
      </w:pPr>
      <w:r>
        <w:rPr>
          <w:rFonts w:ascii="Times New Roman" w:cs="Times New Roman" w:hAnsi="Times New Roman"/>
          <w:color w:val="000000"/>
          <w:sz w:val="24"/>
          <w:szCs w:val="23"/>
        </w:rPr>
      </w:r>
    </w:p>
    <w:p>
      <w:pPr>
        <w:pStyle w:val="style0"/>
        <w:tabs>
          <w:tab w:leader="none" w:pos="0" w:val="left"/>
        </w:tabs>
        <w:spacing w:after="0" w:before="0" w:line="100" w:lineRule="atLeast"/>
        <w:contextualSpacing w:val="false"/>
      </w:pPr>
      <w:r>
        <w:rPr/>
      </w:r>
    </w:p>
    <w:sectPr>
      <w:footerReference r:id="rId7" w:type="default"/>
      <w:type w:val="nextPage"/>
      <w:pgSz w:h="11906" w:orient="landscape" w:w="16838"/>
      <w:pgMar w:bottom="1134" w:footer="709" w:gutter="0" w:header="0" w:left="992" w:right="1701" w:top="567"/>
      <w:pgNumType w:fmt="decimal"/>
      <w:formProt w:val="false"/>
      <w:textDirection w:val="lrTb"/>
      <w:docGrid w:charSpace="4096" w:linePitch="36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Arial">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6"/>
      <w:jc w:val="right"/>
    </w:pPr>
    <w:r>
      <w:rPr/>
      <w:fldChar w:fldCharType="begin"/>
    </w:r>
    <w:r>
      <w:instrText> PAGE </w:instrText>
    </w:r>
    <w:r>
      <w:fldChar w:fldCharType="separate"/>
    </w:r>
    <w:r>
      <w:t>11</w:t>
    </w:r>
    <w:r>
      <w:fldChar w:fldCharType="end"/>
    </w:r>
  </w:p>
  <w:p>
    <w:pPr>
      <w:pStyle w:val="style36"/>
    </w:pPr>
    <w:r>
      <w:rPr/>
    </w:r>
  </w:p>
  <w:p>
    <w:pPr>
      <w:pStyle w:val="style0"/>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6"/>
      <w:jc w:val="right"/>
    </w:pPr>
    <w:r>
      <w:rPr/>
      <w:fldChar w:fldCharType="begin"/>
    </w:r>
    <w:r>
      <w:instrText> PAGE </w:instrText>
    </w:r>
    <w:r>
      <w:fldChar w:fldCharType="separate"/>
    </w:r>
    <w:r>
      <w:t>12</w:t>
    </w:r>
    <w:r>
      <w:fldChar w:fldCharType="end"/>
    </w:r>
  </w:p>
  <w:p>
    <w:pPr>
      <w:pStyle w:val="style36"/>
    </w:pPr>
    <w:r>
      <w:rPr/>
    </w:r>
  </w:p>
  <w:p>
    <w:pPr>
      <w:pStyle w:val="style0"/>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6"/>
      <w:jc w:val="right"/>
    </w:pPr>
    <w:r>
      <w:rPr/>
      <w:fldChar w:fldCharType="begin"/>
    </w:r>
    <w:r>
      <w:instrText> PAGE </w:instrText>
    </w:r>
    <w:r>
      <w:fldChar w:fldCharType="separate"/>
    </w:r>
    <w:r>
      <w:t>15</w:t>
    </w:r>
    <w:r>
      <w:fldChar w:fldCharType="end"/>
    </w:r>
  </w:p>
  <w:p>
    <w:pPr>
      <w:pStyle w:val="style36"/>
    </w:pPr>
    <w:r>
      <w:rPr/>
    </w:r>
  </w:p>
  <w:p>
    <w:pPr>
      <w:pStyle w:val="style0"/>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6"/>
      <w:jc w:val="right"/>
    </w:pPr>
    <w:r>
      <w:rPr/>
      <w:fldChar w:fldCharType="begin"/>
    </w:r>
    <w:r>
      <w:instrText> PAGE </w:instrText>
    </w:r>
    <w:r>
      <w:fldChar w:fldCharType="separate"/>
    </w:r>
    <w:r>
      <w:t>16</w:t>
    </w:r>
    <w:r>
      <w:fldChar w:fldCharType="end"/>
    </w:r>
  </w:p>
  <w:p>
    <w:pPr>
      <w:pStyle w:val="style36"/>
    </w:pPr>
    <w:r>
      <w:rPr/>
    </w:r>
  </w:p>
  <w:p>
    <w:pPr>
      <w:pStyle w:val="style0"/>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6"/>
      <w:jc w:val="right"/>
    </w:pPr>
    <w:r>
      <w:rPr/>
      <w:fldChar w:fldCharType="begin"/>
    </w:r>
    <w:r>
      <w:instrText> PAGE </w:instrText>
    </w:r>
    <w:r>
      <w:fldChar w:fldCharType="separate"/>
    </w:r>
    <w:r>
      <w:t>18</w:t>
    </w:r>
    <w:r>
      <w:fldChar w:fldCharType="end"/>
    </w:r>
  </w:p>
  <w:p>
    <w:pPr>
      <w:pStyle w:val="style36"/>
    </w:pPr>
    <w:r>
      <w:rPr/>
    </w:r>
  </w:p>
  <w:p>
    <w:pPr>
      <w:pStyle w:val="style0"/>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6"/>
      <w:jc w:val="right"/>
    </w:pPr>
    <w:r>
      <w:rPr/>
      <w:fldChar w:fldCharType="begin"/>
    </w:r>
    <w:r>
      <w:instrText> PAGE </w:instrText>
    </w:r>
    <w:r>
      <w:fldChar w:fldCharType="separate"/>
    </w:r>
    <w:r>
      <w:t>22</w:t>
    </w:r>
    <w:r>
      <w:fldChar w:fldCharType="end"/>
    </w:r>
  </w:p>
  <w:p>
    <w:pPr>
      <w:pStyle w:val="style36"/>
    </w:pPr>
    <w:r>
      <w:rPr/>
    </w:r>
  </w:p>
  <w:p>
    <w:pPr>
      <w:pStyle w:val="style0"/>
    </w:pPr>
    <w:r>
      <w:rPr/>
    </w:r>
  </w:p>
</w:ftr>
</file>

<file path=word/numbering.xml><?xml version="1.0" encoding="utf-8"?>
<w:numbering xmlns:w="http://schemas.openxmlformats.org/wordprocessingml/2006/main">
  <w:abstractNum w:abstractNumId="1">
    <w:lvl w:ilvl="0">
      <w:start w:val="1"/>
      <w:numFmt w:val="decimal"/>
      <w:lvlText w:val="%1"/>
      <w:lvlJc w:val="left"/>
      <w:pPr>
        <w:ind w:hanging="360" w:left="360"/>
      </w:pPr>
    </w:lvl>
    <w:lvl w:ilvl="1">
      <w:start w:val="1"/>
      <w:numFmt w:val="decimal"/>
      <w:lvlText w:val="%1.%2"/>
      <w:lvlJc w:val="left"/>
      <w:pPr>
        <w:ind w:hanging="360" w:left="927"/>
      </w:pPr>
    </w:lvl>
    <w:lvl w:ilvl="2">
      <w:start w:val="1"/>
      <w:numFmt w:val="decimal"/>
      <w:lvlText w:val="%1.%2.%3"/>
      <w:lvlJc w:val="left"/>
      <w:pPr>
        <w:ind w:hanging="720" w:left="1854"/>
      </w:pPr>
    </w:lvl>
    <w:lvl w:ilvl="3">
      <w:start w:val="1"/>
      <w:numFmt w:val="decimal"/>
      <w:lvlText w:val="%1.%2.%3.%4"/>
      <w:lvlJc w:val="left"/>
      <w:pPr>
        <w:ind w:hanging="720" w:left="2421"/>
      </w:pPr>
    </w:lvl>
    <w:lvl w:ilvl="4">
      <w:start w:val="1"/>
      <w:numFmt w:val="decimal"/>
      <w:lvlText w:val="%1.%2.%3.%4.%5"/>
      <w:lvlJc w:val="left"/>
      <w:pPr>
        <w:ind w:hanging="1080" w:left="3348"/>
      </w:pPr>
    </w:lvl>
    <w:lvl w:ilvl="5">
      <w:start w:val="1"/>
      <w:numFmt w:val="decimal"/>
      <w:lvlText w:val="%1.%2.%3.%4.%5.%6"/>
      <w:lvlJc w:val="left"/>
      <w:pPr>
        <w:ind w:hanging="1080" w:left="3915"/>
      </w:pPr>
    </w:lvl>
    <w:lvl w:ilvl="6">
      <w:start w:val="1"/>
      <w:numFmt w:val="decimal"/>
      <w:lvlText w:val="%1.%2.%3.%4.%5.%6.%7"/>
      <w:lvlJc w:val="left"/>
      <w:pPr>
        <w:ind w:hanging="1440" w:left="4842"/>
      </w:pPr>
    </w:lvl>
    <w:lvl w:ilvl="7">
      <w:start w:val="1"/>
      <w:numFmt w:val="decimal"/>
      <w:lvlText w:val="%1.%2.%3.%4.%5.%6.%7.%8"/>
      <w:lvlJc w:val="left"/>
      <w:pPr>
        <w:ind w:hanging="1440" w:left="5409"/>
      </w:pPr>
    </w:lvl>
    <w:lvl w:ilvl="8">
      <w:start w:val="1"/>
      <w:numFmt w:val="decimal"/>
      <w:lvlText w:val="%1.%2.%3.%4.%5.%6.%7.%8.%9"/>
      <w:lvlJc w:val="left"/>
      <w:pPr>
        <w:ind w:hanging="1800" w:left="6336"/>
      </w:p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ettings.xml><?xml version="1.0" encoding="utf-8"?>
<w:settings xmlns:w="http://schemas.openxmlformats.org/wordprocessingml/2006/main">
  <w:zoom w:percent="90"/>
  <w:defaultTabStop w:val="680"/>
</w:settings>
</file>

<file path=word/styles.xml><?xml version="1.0" encoding="utf-8"?>
<w:styles xmlns:w="http://schemas.openxmlformats.org/wordprocessingml/2006/main">
  <w:style w:styleId="style0" w:type="paragraph">
    <w:name w:val="Базовый"/>
    <w:next w:val="style0"/>
    <w:pPr>
      <w:widowControl/>
      <w:suppressAutoHyphens w:val="true"/>
      <w:spacing w:after="200" w:before="0" w:line="276" w:lineRule="auto"/>
      <w:contextualSpacing w:val="false"/>
    </w:pPr>
    <w:rPr>
      <w:rFonts w:ascii="Calibri" w:cs="Calibri" w:eastAsia="SimSun" w:hAnsi="Calibri"/>
      <w:color w:val="auto"/>
      <w:sz w:val="22"/>
      <w:szCs w:val="22"/>
      <w:lang w:bidi="ar-SA" w:eastAsia="en-US" w:val="ru-RU"/>
    </w:rPr>
  </w:style>
  <w:style w:styleId="style1" w:type="paragraph">
    <w:name w:val="Заголовок 1"/>
    <w:basedOn w:val="style0"/>
    <w:next w:val="style1"/>
    <w:pPr>
      <w:keepNext/>
      <w:keepLines/>
      <w:spacing w:after="0" w:before="480"/>
      <w:contextualSpacing w:val="false"/>
    </w:pPr>
    <w:rPr>
      <w:rFonts w:ascii="Cambria" w:cs="" w:hAnsi="Cambria"/>
      <w:b/>
      <w:bCs/>
      <w:color w:val="365F91"/>
      <w:sz w:val="28"/>
      <w:szCs w:val="28"/>
    </w:rPr>
  </w:style>
  <w:style w:styleId="style15" w:type="character">
    <w:name w:val="Default Paragraph Font"/>
    <w:next w:val="style15"/>
    <w:rPr/>
  </w:style>
  <w:style w:styleId="style16" w:type="character">
    <w:name w:val="Заголовок 1 Знак"/>
    <w:basedOn w:val="style15"/>
    <w:next w:val="style16"/>
    <w:rPr>
      <w:rFonts w:ascii="Cambria" w:cs="" w:hAnsi="Cambria"/>
      <w:b/>
      <w:bCs/>
      <w:color w:val="365F91"/>
      <w:sz w:val="28"/>
      <w:szCs w:val="28"/>
    </w:rPr>
  </w:style>
  <w:style w:styleId="style17" w:type="character">
    <w:name w:val="Текст выноски Знак"/>
    <w:basedOn w:val="style15"/>
    <w:next w:val="style17"/>
    <w:rPr>
      <w:rFonts w:ascii="Tahoma" w:cs="Tahoma" w:hAnsi="Tahoma"/>
      <w:sz w:val="16"/>
      <w:szCs w:val="16"/>
    </w:rPr>
  </w:style>
  <w:style w:styleId="style18" w:type="character">
    <w:name w:val="Нижний колонтитул Знак"/>
    <w:basedOn w:val="style15"/>
    <w:next w:val="style18"/>
    <w:rPr/>
  </w:style>
  <w:style w:styleId="style19" w:type="character">
    <w:name w:val="Выделение жирным"/>
    <w:basedOn w:val="style15"/>
    <w:next w:val="style19"/>
    <w:rPr>
      <w:b/>
      <w:bCs/>
    </w:rPr>
  </w:style>
  <w:style w:styleId="style20" w:type="character">
    <w:name w:val="Интернет-ссылка"/>
    <w:basedOn w:val="style15"/>
    <w:next w:val="style20"/>
    <w:rPr>
      <w:color w:val="0000FF"/>
      <w:u w:val="single"/>
      <w:lang w:bidi="zxx-" w:eastAsia="zxx-" w:val="zxx-"/>
    </w:rPr>
  </w:style>
  <w:style w:styleId="style21" w:type="character">
    <w:name w:val="apple-converted-space"/>
    <w:basedOn w:val="style15"/>
    <w:next w:val="style21"/>
    <w:rPr/>
  </w:style>
  <w:style w:styleId="style22" w:type="character">
    <w:name w:val="ListLabel 1"/>
    <w:next w:val="style22"/>
    <w:rPr>
      <w:rFonts w:cs="Courier New"/>
    </w:rPr>
  </w:style>
  <w:style w:styleId="style23" w:type="character">
    <w:name w:val="Ссылка указателя"/>
    <w:next w:val="style23"/>
    <w:rPr/>
  </w:style>
  <w:style w:styleId="style24" w:type="paragraph">
    <w:name w:val="Заголовок"/>
    <w:basedOn w:val="style0"/>
    <w:next w:val="style25"/>
    <w:pPr>
      <w:keepNext/>
      <w:spacing w:after="120" w:before="240"/>
      <w:contextualSpacing w:val="false"/>
    </w:pPr>
    <w:rPr>
      <w:rFonts w:ascii="Arial" w:cs="Mangal" w:eastAsia="Microsoft YaHei" w:hAnsi="Arial"/>
      <w:sz w:val="28"/>
      <w:szCs w:val="28"/>
    </w:rPr>
  </w:style>
  <w:style w:styleId="style25" w:type="paragraph">
    <w:name w:val="Основной текст"/>
    <w:basedOn w:val="style0"/>
    <w:next w:val="style25"/>
    <w:pPr>
      <w:spacing w:after="120" w:before="0"/>
      <w:contextualSpacing w:val="false"/>
    </w:pPr>
    <w:rPr/>
  </w:style>
  <w:style w:styleId="style26" w:type="paragraph">
    <w:name w:val="Список"/>
    <w:basedOn w:val="style25"/>
    <w:next w:val="style26"/>
    <w:pPr/>
    <w:rPr>
      <w:rFonts w:cs="Mangal"/>
    </w:rPr>
  </w:style>
  <w:style w:styleId="style27" w:type="paragraph">
    <w:name w:val="Название"/>
    <w:basedOn w:val="style0"/>
    <w:next w:val="style27"/>
    <w:pPr>
      <w:suppressLineNumbers/>
      <w:spacing w:after="120" w:before="120"/>
      <w:contextualSpacing w:val="false"/>
    </w:pPr>
    <w:rPr>
      <w:rFonts w:cs="Mangal"/>
      <w:i/>
      <w:iCs/>
      <w:sz w:val="24"/>
      <w:szCs w:val="24"/>
    </w:rPr>
  </w:style>
  <w:style w:styleId="style28" w:type="paragraph">
    <w:name w:val="Указатель"/>
    <w:basedOn w:val="style0"/>
    <w:next w:val="style28"/>
    <w:pPr>
      <w:suppressLineNumbers/>
    </w:pPr>
    <w:rPr>
      <w:rFonts w:cs="Mangal"/>
    </w:rPr>
  </w:style>
  <w:style w:styleId="style29" w:type="paragraph">
    <w:name w:val="List Paragraph"/>
    <w:basedOn w:val="style0"/>
    <w:next w:val="style29"/>
    <w:pPr>
      <w:spacing w:after="200" w:before="0"/>
      <w:ind w:hanging="0" w:left="720" w:right="0"/>
      <w:contextualSpacing/>
    </w:pPr>
    <w:rPr/>
  </w:style>
  <w:style w:styleId="style30" w:type="paragraph">
    <w:name w:val="Заголовок оглавления"/>
    <w:basedOn w:val="style1"/>
    <w:next w:val="style30"/>
    <w:pPr/>
    <w:rPr>
      <w:lang w:eastAsia="ru-RU"/>
    </w:rPr>
  </w:style>
  <w:style w:styleId="style31" w:type="paragraph">
    <w:name w:val="Оглавление 2"/>
    <w:basedOn w:val="style0"/>
    <w:next w:val="style31"/>
    <w:pPr>
      <w:spacing w:after="100" w:before="0"/>
      <w:ind w:hanging="0" w:left="220" w:right="0"/>
      <w:contextualSpacing w:val="false"/>
    </w:pPr>
    <w:rPr>
      <w:rFonts w:cs=""/>
      <w:lang w:eastAsia="ru-RU"/>
    </w:rPr>
  </w:style>
  <w:style w:styleId="style32" w:type="paragraph">
    <w:name w:val="Оглавление 1"/>
    <w:basedOn w:val="style28"/>
    <w:next w:val="style32"/>
    <w:pPr>
      <w:widowControl/>
      <w:spacing w:after="100" w:before="0"/>
      <w:contextualSpacing w:val="false"/>
    </w:pPr>
    <w:rPr>
      <w:rFonts w:ascii="Times New Roman" w:cs="" w:hAnsi="Times New Roman"/>
      <w:b/>
      <w:color w:val="auto"/>
      <w:sz w:val="24"/>
      <w:lang w:eastAsia="ru-RU"/>
    </w:rPr>
  </w:style>
  <w:style w:styleId="style33" w:type="paragraph">
    <w:name w:val="Оглавление 3"/>
    <w:basedOn w:val="style0"/>
    <w:next w:val="style33"/>
    <w:pPr>
      <w:spacing w:after="100" w:before="0"/>
      <w:ind w:hanging="0" w:left="440" w:right="0"/>
      <w:contextualSpacing w:val="false"/>
    </w:pPr>
    <w:rPr>
      <w:rFonts w:cs=""/>
      <w:lang w:eastAsia="ru-RU"/>
    </w:rPr>
  </w:style>
  <w:style w:styleId="style34" w:type="paragraph">
    <w:name w:val="Balloon Text"/>
    <w:basedOn w:val="style0"/>
    <w:next w:val="style34"/>
    <w:pPr>
      <w:spacing w:after="0" w:before="0" w:line="100" w:lineRule="atLeast"/>
      <w:contextualSpacing w:val="false"/>
    </w:pPr>
    <w:rPr>
      <w:rFonts w:ascii="Tahoma" w:cs="Tahoma" w:hAnsi="Tahoma"/>
      <w:sz w:val="16"/>
      <w:szCs w:val="16"/>
    </w:rPr>
  </w:style>
  <w:style w:styleId="style35" w:type="paragraph">
    <w:name w:val="Normal"/>
    <w:next w:val="style35"/>
    <w:pPr>
      <w:widowControl/>
      <w:suppressAutoHyphens w:val="true"/>
      <w:spacing w:after="0" w:before="0" w:line="100" w:lineRule="atLeast"/>
      <w:contextualSpacing w:val="false"/>
    </w:pPr>
    <w:rPr>
      <w:rFonts w:ascii="Times New Roman" w:cs="Times New Roman" w:eastAsia="Times New Roman" w:hAnsi="Times New Roman"/>
      <w:color w:val="000000"/>
      <w:sz w:val="24"/>
      <w:szCs w:val="24"/>
      <w:lang w:bidi="ar-SA" w:eastAsia="ru-RU" w:val="ru-RU"/>
    </w:rPr>
  </w:style>
  <w:style w:styleId="style36" w:type="paragraph">
    <w:name w:val="Нижний колонтитул"/>
    <w:basedOn w:val="style0"/>
    <w:next w:val="style36"/>
    <w:pPr>
      <w:tabs>
        <w:tab w:leader="none" w:pos="4677" w:val="center"/>
        <w:tab w:leader="none" w:pos="9355" w:val="right"/>
      </w:tabs>
      <w:spacing w:after="0" w:before="0" w:line="100" w:lineRule="atLeast"/>
      <w:contextualSpacing w:val="false"/>
    </w:pPr>
    <w:rPr/>
  </w:style>
  <w:style w:styleId="style37" w:type="paragraph">
    <w:name w:val="Normal (Web)"/>
    <w:basedOn w:val="style0"/>
    <w:next w:val="style37"/>
    <w:pPr>
      <w:spacing w:after="28" w:before="28" w:line="100" w:lineRule="atLeast"/>
      <w:contextualSpacing w:val="false"/>
    </w:pPr>
    <w:rPr>
      <w:rFonts w:ascii="Times New Roman" w:cs="Times New Roman" w:eastAsia="Times New Roman" w:hAnsi="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565</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2016-02-16T07:52:00.00Z</dcterms:created>
  <dc:creator>Пользователь</dc:creator>
  <cp:lastModifiedBy>Олег</cp:lastModifiedBy>
  <cp:lastPrinted>2018-05-31T14:50:19.14Z</cp:lastPrinted>
  <dcterms:modified xsi:type="dcterms:W3CDTF">2016-03-25T10:54:00.00Z</dcterms:modified>
  <cp:revision>28</cp:revision>
</cp:coreProperties>
</file>