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262B" w:rsidRPr="00E7262B" w:rsidRDefault="00E7262B" w:rsidP="00E7262B">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bookmarkStart w:id="0" w:name="_GoBack"/>
      <w:r w:rsidRPr="00E7262B">
        <w:rPr>
          <w:rFonts w:ascii="Times New Roman" w:eastAsia="Times New Roman" w:hAnsi="Times New Roman" w:cs="Times New Roman"/>
          <w:b/>
          <w:bCs/>
          <w:kern w:val="36"/>
          <w:sz w:val="48"/>
          <w:szCs w:val="48"/>
          <w:lang w:eastAsia="ru-RU"/>
        </w:rPr>
        <w:t>Установление страховых пенсий, накопительной пенсии и пенсий по государственному пенсионному обеспечению гражданам, выехавшим на постоянное жительство за пределы территории Российской Федерации</w:t>
      </w:r>
    </w:p>
    <w:bookmarkEnd w:id="0"/>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 </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 </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 </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 </w:t>
      </w:r>
    </w:p>
    <w:p w:rsidR="00E7262B" w:rsidRPr="00E7262B" w:rsidRDefault="00E7262B" w:rsidP="00E7262B">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6" w:history="1">
        <w:r w:rsidRPr="00E7262B">
          <w:rPr>
            <w:rFonts w:ascii="Times New Roman" w:eastAsia="Times New Roman" w:hAnsi="Times New Roman" w:cs="Times New Roman"/>
            <w:b/>
            <w:bCs/>
            <w:color w:val="0000FF"/>
            <w:sz w:val="27"/>
            <w:szCs w:val="27"/>
            <w:u w:val="single"/>
            <w:lang w:eastAsia="ru-RU"/>
          </w:rPr>
          <w:t xml:space="preserve">Круг заявителей </w:t>
        </w:r>
      </w:hyperlink>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Государственная услуга предоставляется гражданам Российской Федерации, выехавшим на постоянное жительство за пределы территории Российской Федерации и не имеющим подтвержденного регистрацией места жительства и места пребывания на территории Российской Федерации за исключением граждан, пенсии которым устанавливаются в связи с замещением должностей государственной гражданской службы (далее – граждане).</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Гражданин может воспользоваться государственной услугой через своего законного или уполномоченного представителя (далее – представитель).</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При этом личное участие гражданина в правоотношениях по получению государственной услуги не лишает его права иметь представителя, равно как и участие представителя не лишает гражданина права на личное участие в указанных правоотношениях.</w:t>
      </w:r>
    </w:p>
    <w:p w:rsidR="00E7262B" w:rsidRPr="00E7262B" w:rsidRDefault="00E7262B" w:rsidP="00E7262B">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7" w:history="1">
        <w:r w:rsidRPr="00E7262B">
          <w:rPr>
            <w:rFonts w:ascii="Times New Roman" w:eastAsia="Times New Roman" w:hAnsi="Times New Roman" w:cs="Times New Roman"/>
            <w:b/>
            <w:bCs/>
            <w:color w:val="0000FF"/>
            <w:sz w:val="27"/>
            <w:szCs w:val="27"/>
            <w:u w:val="single"/>
            <w:lang w:eastAsia="ru-RU"/>
          </w:rPr>
          <w:t xml:space="preserve">Наименование органа, предоставляющего государственную услугу </w:t>
        </w:r>
      </w:hyperlink>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Государственную услугу предоставляет ПФР через свои территориальные органы.</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Территориальные органы ПФР при предоставлении государственной услуги не вправе требовать от гражданина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w:t>
      </w:r>
    </w:p>
    <w:p w:rsidR="00E7262B" w:rsidRPr="00E7262B" w:rsidRDefault="00E7262B" w:rsidP="00E7262B">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8" w:history="1">
        <w:r w:rsidRPr="00E7262B">
          <w:rPr>
            <w:rFonts w:ascii="Times New Roman" w:eastAsia="Times New Roman" w:hAnsi="Times New Roman" w:cs="Times New Roman"/>
            <w:b/>
            <w:bCs/>
            <w:color w:val="0000FF"/>
            <w:sz w:val="27"/>
            <w:szCs w:val="27"/>
            <w:u w:val="single"/>
            <w:lang w:eastAsia="ru-RU"/>
          </w:rPr>
          <w:t xml:space="preserve">Описание результата предоставления государственной услуги </w:t>
        </w:r>
      </w:hyperlink>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Результатом предоставления государственной услуги в зависимости от поданного заявления является:</w:t>
      </w:r>
    </w:p>
    <w:p w:rsidR="00E7262B" w:rsidRPr="00E7262B" w:rsidRDefault="00E7262B" w:rsidP="00E7262B">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lastRenderedPageBreak/>
        <w:t>по заявлению о назначении пенсии - назначение пенсии либо отказ в назначении пенсии;</w:t>
      </w:r>
    </w:p>
    <w:p w:rsidR="00E7262B" w:rsidRPr="00E7262B" w:rsidRDefault="00E7262B" w:rsidP="00E7262B">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по заявлению о переводе с одной пенсии на другую - перевод с одного вида пенсии на другой либо отказ в переводе с одного вида пенсии на другой;</w:t>
      </w:r>
    </w:p>
    <w:p w:rsidR="00E7262B" w:rsidRPr="00E7262B" w:rsidRDefault="00E7262B" w:rsidP="00E7262B">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по заявлению о перерасчете размера пенсий - перерасчет размера пенсии либо отказ в перерасчете размера пенсии.</w:t>
      </w:r>
    </w:p>
    <w:p w:rsidR="00E7262B" w:rsidRPr="00E7262B" w:rsidRDefault="00E7262B" w:rsidP="00E7262B">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9" w:history="1">
        <w:r w:rsidRPr="00E7262B">
          <w:rPr>
            <w:rFonts w:ascii="Times New Roman" w:eastAsia="Times New Roman" w:hAnsi="Times New Roman" w:cs="Times New Roman"/>
            <w:b/>
            <w:bCs/>
            <w:color w:val="0000FF"/>
            <w:sz w:val="27"/>
            <w:szCs w:val="27"/>
            <w:u w:val="single"/>
            <w:lang w:eastAsia="ru-RU"/>
          </w:rPr>
          <w:t xml:space="preserve">Срок предоставления государственной услуги </w:t>
        </w:r>
      </w:hyperlink>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7262B">
        <w:rPr>
          <w:rFonts w:ascii="Times New Roman" w:eastAsia="Times New Roman" w:hAnsi="Times New Roman" w:cs="Times New Roman"/>
          <w:sz w:val="24"/>
          <w:szCs w:val="24"/>
          <w:lang w:eastAsia="ru-RU"/>
        </w:rPr>
        <w:t>Рассмотрение заявления о назначении пенсии, заявления о переводе с одного вида пенсии на другой и принятие решения о назначении либо об отказе в назначении пенсии, о переводе с одного вида пенсии на другой либо об отказе в переводе с одной пенсии на другую осуществляется территориальным органом ПФР не позднее 10 рабочих дней со дня приема заявления со всеми необходимыми документами</w:t>
      </w:r>
      <w:proofErr w:type="gramEnd"/>
      <w:r w:rsidRPr="00E7262B">
        <w:rPr>
          <w:rFonts w:ascii="Times New Roman" w:eastAsia="Times New Roman" w:hAnsi="Times New Roman" w:cs="Times New Roman"/>
          <w:sz w:val="24"/>
          <w:szCs w:val="24"/>
          <w:lang w:eastAsia="ru-RU"/>
        </w:rPr>
        <w:t xml:space="preserve">, обязанность по представлению </w:t>
      </w:r>
      <w:proofErr w:type="gramStart"/>
      <w:r w:rsidRPr="00E7262B">
        <w:rPr>
          <w:rFonts w:ascii="Times New Roman" w:eastAsia="Times New Roman" w:hAnsi="Times New Roman" w:cs="Times New Roman"/>
          <w:sz w:val="24"/>
          <w:szCs w:val="24"/>
          <w:lang w:eastAsia="ru-RU"/>
        </w:rPr>
        <w:t>которых</w:t>
      </w:r>
      <w:proofErr w:type="gramEnd"/>
      <w:r w:rsidRPr="00E7262B">
        <w:rPr>
          <w:rFonts w:ascii="Times New Roman" w:eastAsia="Times New Roman" w:hAnsi="Times New Roman" w:cs="Times New Roman"/>
          <w:sz w:val="24"/>
          <w:szCs w:val="24"/>
          <w:lang w:eastAsia="ru-RU"/>
        </w:rPr>
        <w:t xml:space="preserve"> возложена на гражданина и которые он вправе представить по собственной инициативе.</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В том случае, когда к заявлению о назначении пенсии приложены не все документы, необходимые для предоставления государственной услуги, обязанность по представлению которых возложена на гражданина, гражданин вправе дополнительно представить на основании разъяснения территориального органа ПФР недостающие документы. Такие документы должны быть представлены не позднее чем через 3 месяца со дня получения соответствующего разъяснения территориального органа ПФР.</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7262B">
        <w:rPr>
          <w:rFonts w:ascii="Times New Roman" w:eastAsia="Times New Roman" w:hAnsi="Times New Roman" w:cs="Times New Roman"/>
          <w:sz w:val="24"/>
          <w:szCs w:val="24"/>
          <w:lang w:eastAsia="ru-RU"/>
        </w:rPr>
        <w:t>В том случае, если к заявлению о назначении пенсии были приложены не все необходимые документы из числа документов, обязанность по представлению которых возложена на гражданина, и документов, находящихся в распоряжении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которые он вправе представить по собственной инициативе, территориальный орган ПФР рассматривает заявление о назначении пенсии и</w:t>
      </w:r>
      <w:proofErr w:type="gramEnd"/>
      <w:r w:rsidRPr="00E7262B">
        <w:rPr>
          <w:rFonts w:ascii="Times New Roman" w:eastAsia="Times New Roman" w:hAnsi="Times New Roman" w:cs="Times New Roman"/>
          <w:sz w:val="24"/>
          <w:szCs w:val="24"/>
          <w:lang w:eastAsia="ru-RU"/>
        </w:rPr>
        <w:t xml:space="preserve"> </w:t>
      </w:r>
      <w:proofErr w:type="gramStart"/>
      <w:r w:rsidRPr="00E7262B">
        <w:rPr>
          <w:rFonts w:ascii="Times New Roman" w:eastAsia="Times New Roman" w:hAnsi="Times New Roman" w:cs="Times New Roman"/>
          <w:sz w:val="24"/>
          <w:szCs w:val="24"/>
          <w:lang w:eastAsia="ru-RU"/>
        </w:rPr>
        <w:t>принимает решение о назначении пенсии либо об отказе в назначении пенсии не позднее чем через 10 рабочих дней со дня представления гражданином дополнительных документов (в срок не позднее 3 месяцев со дня получения соответствующего разъяснения территориального органа ПФР), и поступления документов, запрошенных территориальным органом Пенсионного фонда Российской Федерации в иных государственных органах, органах местного самоуправления либо подведомственных государственным органам или</w:t>
      </w:r>
      <w:proofErr w:type="gramEnd"/>
      <w:r w:rsidRPr="00E7262B">
        <w:rPr>
          <w:rFonts w:ascii="Times New Roman" w:eastAsia="Times New Roman" w:hAnsi="Times New Roman" w:cs="Times New Roman"/>
          <w:sz w:val="24"/>
          <w:szCs w:val="24"/>
          <w:lang w:eastAsia="ru-RU"/>
        </w:rPr>
        <w:t xml:space="preserve"> органам местного самоуправления </w:t>
      </w:r>
      <w:proofErr w:type="gramStart"/>
      <w:r w:rsidRPr="00E7262B">
        <w:rPr>
          <w:rFonts w:ascii="Times New Roman" w:eastAsia="Times New Roman" w:hAnsi="Times New Roman" w:cs="Times New Roman"/>
          <w:sz w:val="24"/>
          <w:szCs w:val="24"/>
          <w:lang w:eastAsia="ru-RU"/>
        </w:rPr>
        <w:t>организациях</w:t>
      </w:r>
      <w:proofErr w:type="gramEnd"/>
      <w:r w:rsidRPr="00E7262B">
        <w:rPr>
          <w:rFonts w:ascii="Times New Roman" w:eastAsia="Times New Roman" w:hAnsi="Times New Roman" w:cs="Times New Roman"/>
          <w:sz w:val="24"/>
          <w:szCs w:val="24"/>
          <w:lang w:eastAsia="ru-RU"/>
        </w:rPr>
        <w:t>.</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7262B">
        <w:rPr>
          <w:rFonts w:ascii="Times New Roman" w:eastAsia="Times New Roman" w:hAnsi="Times New Roman" w:cs="Times New Roman"/>
          <w:sz w:val="24"/>
          <w:szCs w:val="24"/>
          <w:lang w:eastAsia="ru-RU"/>
        </w:rPr>
        <w:t>В случае если гражданин на основании разъяснения территориального органа ПФР дополнительно не представил недостающие для назначения пенсии документы, обязанность по представлению которых возложена на гражданина, в срок не позднее 3 месяцев со дня получения соответствующего разъяснения территориального органа ПФР, территориальный орган ПФР рассматривает заявление о назначении пенсии и принимает решение о назначении пенсии либо об отказе в назначении пенсии не</w:t>
      </w:r>
      <w:proofErr w:type="gramEnd"/>
      <w:r w:rsidRPr="00E7262B">
        <w:rPr>
          <w:rFonts w:ascii="Times New Roman" w:eastAsia="Times New Roman" w:hAnsi="Times New Roman" w:cs="Times New Roman"/>
          <w:sz w:val="24"/>
          <w:szCs w:val="24"/>
          <w:lang w:eastAsia="ru-RU"/>
        </w:rPr>
        <w:t xml:space="preserve"> позднее чем через 10 рабочих дней со дня истечения указанного срока (при поступлении документов, находящихся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7262B">
        <w:rPr>
          <w:rFonts w:ascii="Times New Roman" w:eastAsia="Times New Roman" w:hAnsi="Times New Roman" w:cs="Times New Roman"/>
          <w:sz w:val="24"/>
          <w:szCs w:val="24"/>
          <w:lang w:eastAsia="ru-RU"/>
        </w:rPr>
        <w:t xml:space="preserve">Рассмотрение заявления о перерасчете размера пенсии и вынесение распоряжения о перерасчете размера пенсии либо решения об отказе в перерасчете размера пенсии </w:t>
      </w:r>
      <w:r w:rsidRPr="00E7262B">
        <w:rPr>
          <w:rFonts w:ascii="Times New Roman" w:eastAsia="Times New Roman" w:hAnsi="Times New Roman" w:cs="Times New Roman"/>
          <w:sz w:val="24"/>
          <w:szCs w:val="24"/>
          <w:lang w:eastAsia="ru-RU"/>
        </w:rPr>
        <w:lastRenderedPageBreak/>
        <w:t>осуществляется территориальным органом ПФР не позднее чем через 5 рабочих дней со дня приема этого заявления со всеми необходимыми документами, находящимися в распоряжении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обязанность по</w:t>
      </w:r>
      <w:proofErr w:type="gramEnd"/>
      <w:r w:rsidRPr="00E7262B">
        <w:rPr>
          <w:rFonts w:ascii="Times New Roman" w:eastAsia="Times New Roman" w:hAnsi="Times New Roman" w:cs="Times New Roman"/>
          <w:sz w:val="24"/>
          <w:szCs w:val="24"/>
          <w:lang w:eastAsia="ru-RU"/>
        </w:rPr>
        <w:t xml:space="preserve"> </w:t>
      </w:r>
      <w:proofErr w:type="gramStart"/>
      <w:r w:rsidRPr="00E7262B">
        <w:rPr>
          <w:rFonts w:ascii="Times New Roman" w:eastAsia="Times New Roman" w:hAnsi="Times New Roman" w:cs="Times New Roman"/>
          <w:sz w:val="24"/>
          <w:szCs w:val="24"/>
          <w:lang w:eastAsia="ru-RU"/>
        </w:rPr>
        <w:t>представлению</w:t>
      </w:r>
      <w:proofErr w:type="gramEnd"/>
      <w:r w:rsidRPr="00E7262B">
        <w:rPr>
          <w:rFonts w:ascii="Times New Roman" w:eastAsia="Times New Roman" w:hAnsi="Times New Roman" w:cs="Times New Roman"/>
          <w:sz w:val="24"/>
          <w:szCs w:val="24"/>
          <w:lang w:eastAsia="ru-RU"/>
        </w:rPr>
        <w:t xml:space="preserve"> которых возложена на гражданина, и документами, которые он вправе представить по собственной инициативе.</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Об удовлетворении или об отказе в удовлетворении поданного заявления территориальный орган ПФР не позднее чем через 5 рабочих дней со дня вынесения соответствующего решения извещает об этом гражданина.</w:t>
      </w:r>
    </w:p>
    <w:p w:rsidR="00E7262B" w:rsidRPr="00E7262B" w:rsidRDefault="00E7262B" w:rsidP="00E7262B">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0" w:history="1">
        <w:r w:rsidRPr="00E7262B">
          <w:rPr>
            <w:rFonts w:ascii="Times New Roman" w:eastAsia="Times New Roman" w:hAnsi="Times New Roman" w:cs="Times New Roman"/>
            <w:b/>
            <w:bCs/>
            <w:color w:val="0000FF"/>
            <w:sz w:val="27"/>
            <w:szCs w:val="27"/>
            <w:u w:val="single"/>
            <w:lang w:eastAsia="ru-RU"/>
          </w:rPr>
          <w:t xml:space="preserve">Перечень нормативных актов, регулирующих отношения, возникающие в связи с предоставлением государственной услуги </w:t>
        </w:r>
      </w:hyperlink>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Территориальные органы ПФР при предоставлении государственной услуги руководствуются:</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Гражданским кодексом Российской Федерации (часть I);</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Законом Российской Федерации от 15 мая 1991 г. № 1244-1 «О социальной защите граждан, подвергшихся воздействию радиации вследствие катастрофы на Чернобыльской АЭС»;</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 xml:space="preserve">Законом Российской Федерации от 12 февраля 1993 г. № 4468-1 «О пенсионном обеспечении лиц, проходивших военную службу, службу в органах внутренних дел, Государственной противопожарной службе, органах по </w:t>
      </w:r>
      <w:proofErr w:type="gramStart"/>
      <w:r w:rsidRPr="00E7262B">
        <w:rPr>
          <w:rFonts w:ascii="Times New Roman" w:eastAsia="Times New Roman" w:hAnsi="Times New Roman" w:cs="Times New Roman"/>
          <w:sz w:val="24"/>
          <w:szCs w:val="24"/>
          <w:lang w:eastAsia="ru-RU"/>
        </w:rPr>
        <w:t>контролю за</w:t>
      </w:r>
      <w:proofErr w:type="gramEnd"/>
      <w:r w:rsidRPr="00E7262B">
        <w:rPr>
          <w:rFonts w:ascii="Times New Roman" w:eastAsia="Times New Roman" w:hAnsi="Times New Roman" w:cs="Times New Roman"/>
          <w:sz w:val="24"/>
          <w:szCs w:val="24"/>
          <w:lang w:eastAsia="ru-RU"/>
        </w:rPr>
        <w:t xml:space="preserve"> оборотом наркотических средств и психотропных веществ, учреждениях и органах уголовно-исполнительной системы, и их семей»;</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Федеральным законом от 12 января 1995 г. № 5-ФЗ «О ветеранах»;</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Федеральным законом от 1 апреля 1996 г. № 27-ФЗ «Об индивидуальном (персонифицированном) учете в системе обязательного пенсионного страхования»;</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 xml:space="preserve">Федеральным законом от 26 ноября 1998 г. №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w:t>
      </w:r>
      <w:proofErr w:type="spellStart"/>
      <w:r w:rsidRPr="00E7262B">
        <w:rPr>
          <w:rFonts w:ascii="Times New Roman" w:eastAsia="Times New Roman" w:hAnsi="Times New Roman" w:cs="Times New Roman"/>
          <w:sz w:val="24"/>
          <w:szCs w:val="24"/>
          <w:lang w:eastAsia="ru-RU"/>
        </w:rPr>
        <w:t>Теча</w:t>
      </w:r>
      <w:proofErr w:type="spellEnd"/>
      <w:r w:rsidRPr="00E7262B">
        <w:rPr>
          <w:rFonts w:ascii="Times New Roman" w:eastAsia="Times New Roman" w:hAnsi="Times New Roman" w:cs="Times New Roman"/>
          <w:sz w:val="24"/>
          <w:szCs w:val="24"/>
          <w:lang w:eastAsia="ru-RU"/>
        </w:rPr>
        <w:t>»;</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Федеральным законом от 15 декабря 2001 г. № 166-ФЗ «О государственном пенсионном обеспечении в Российской Федерации»;</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Федеральным законом от 15 декабря 2001 г. № 167-ФЗ «Об обязательном пенсионном страховании в Российской Федерации»;</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Федеральным законом от 10 января 2002 г. № 2-ФЗ «О социальных гарантиях гражданам, подвергшимся радиационному воздействию вследствие ядерных испытаний на Семипалатинском полигоне»;</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Федеральным законом от 27 июля 2010 г. № 210-ФЗ «Об организации предоставления государственных и муниципальных услуг»;</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lastRenderedPageBreak/>
        <w:t>Федеральным законом от 6 апреля 2011 г. № 63-ФЗ «Об электронной подписи»;</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Федеральным законом от 4 июня 2011 г. № 126-ФЗ «О гарантиях пенсионного обеспечения для отдельных категорий граждан»;</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Федеральным законом от 28 декабря 2013 г. № 400-ФЗ «О страховых пенсиях»;</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Федеральным законом от 28 декабря 2013 г. № 424-ФЗ «О накопительной пенсии»;</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Указом Президента Российской Федерации от 7 мая 2012 г. № 601 «Об основных направлениях совершенствования системы государственного управления»;</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постановлением Центрального Комитета КПСС и Совета Министров СССР от 10 ноября 1978 г. № 907 «О мерах по дальнейшему улучшению материально-бытовых условий участников Великой Отечественной войны»; постановлением Центрального Комитета КПСС и Совета Министров СССР от 27 февраля 1981 г. № 220 «О распространении льгот, установленных постановлением Центрального Комитета КПСС и Совета Министров СССР от 10 ноября 1978 г. № 907 для участников Великой Отечественной войны из числа военнослужащих и партизан, на вольнонаемный состав действующей армии»;</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постановлением Центрального Комитета КПСС и Совета Министров СССР от 14 мая 1985 г. № 416 «О распространении льгот, установленных для участников Великой Отечественной Войны, на граждан, работавших в период блокады г. Ленинграда на предприятиях, в учреждениях и организациях города и награжденных медалью «За оборону Ленинграда»;</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постановлением Верховного Совета Российской Федерации от 27 декабря 1991 г. № 2123-1 «О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постановлением Совета Министров - Правительства Российской Федерации от 17 мая 1993 г. № 455 «Вопросы материального и пенсионного обеспечения космонавтов»;</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постановлением Правительства Российской Федерации от 5 октября 1999 г. № 1122 «Об удостоверениях ветерана Великой Отечественной войны»;</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постановлением Правительства Российской Федерации от 11 июля 2002 г. № 516 «Об утверждении Правил исчисления периодов работы, дающей право на досрочное назначение трудовой пенсии по старости в соответствии со статьями 27 и 28 Федерального закона «О трудовых пенсиях в Российской Федерации»;</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7262B">
        <w:rPr>
          <w:rFonts w:ascii="Times New Roman" w:eastAsia="Times New Roman" w:hAnsi="Times New Roman" w:cs="Times New Roman"/>
          <w:sz w:val="24"/>
          <w:szCs w:val="24"/>
          <w:lang w:eastAsia="ru-RU"/>
        </w:rPr>
        <w:t>постановлением Правительства Российской Федерации от 18 июля 2002 г. № 537 «О Списках производств, работ, профессий и должностей, с учетом которых досрочно назначается трудовая пенсия по старости в соответствии со статьей 27 Федерального закона «О трудовых пенсиях в Российской Федерации», и об утверждении Правил исчисления периодов работы, дающей право на досрочное назначение трудовой пенсии по старости работникам летного состава гражданской авиации</w:t>
      </w:r>
      <w:proofErr w:type="gramEnd"/>
      <w:r w:rsidRPr="00E7262B">
        <w:rPr>
          <w:rFonts w:ascii="Times New Roman" w:eastAsia="Times New Roman" w:hAnsi="Times New Roman" w:cs="Times New Roman"/>
          <w:sz w:val="24"/>
          <w:szCs w:val="24"/>
          <w:lang w:eastAsia="ru-RU"/>
        </w:rPr>
        <w:t xml:space="preserve"> в соответствии со статьей 27 Федерального закона «О трудовых пенсиях в Российской Федерации»;</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7262B">
        <w:rPr>
          <w:rFonts w:ascii="Times New Roman" w:eastAsia="Times New Roman" w:hAnsi="Times New Roman" w:cs="Times New Roman"/>
          <w:sz w:val="24"/>
          <w:szCs w:val="24"/>
          <w:lang w:eastAsia="ru-RU"/>
        </w:rPr>
        <w:t xml:space="preserve">постановлением Правительства Российской Федерации от 29 октября 2002 г. № 781 «О списках работ, профессий, должностей, специальностей и учреждений, с учетом которых </w:t>
      </w:r>
      <w:r w:rsidRPr="00E7262B">
        <w:rPr>
          <w:rFonts w:ascii="Times New Roman" w:eastAsia="Times New Roman" w:hAnsi="Times New Roman" w:cs="Times New Roman"/>
          <w:sz w:val="24"/>
          <w:szCs w:val="24"/>
          <w:lang w:eastAsia="ru-RU"/>
        </w:rPr>
        <w:lastRenderedPageBreak/>
        <w:t>досрочно назначается трудовая пенсия по старости в соответствии со статьей 27 Федерального закона «О трудовых пенсиях в Российской Федерации», и об утверждении Правил исчисления периодов работы, дающей право на досрочное назначение трудовой пенсии по старости в соответствии со статьей</w:t>
      </w:r>
      <w:proofErr w:type="gramEnd"/>
      <w:r w:rsidRPr="00E7262B">
        <w:rPr>
          <w:rFonts w:ascii="Times New Roman" w:eastAsia="Times New Roman" w:hAnsi="Times New Roman" w:cs="Times New Roman"/>
          <w:sz w:val="24"/>
          <w:szCs w:val="24"/>
          <w:lang w:eastAsia="ru-RU"/>
        </w:rPr>
        <w:t xml:space="preserve"> 27 Федерального закона «О трудовых пенсиях в Российской Федерации»;</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постановлением Правительства Российской Федерации от 16 апреля 2003 г. № 225 «О трудовых книжках»;</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постановлением Правительства Российской Федерации от 16 мая 2011 г.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постановлением Правительства Российской Федерации от 16 августа 2012 г.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постановлением Правительства Российской Федерации от 25 августа 2012 г.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постановлением Правительства Российской Федерации от 16 июля 2014 г. № 665 «О списках работ, производств, профессий, должностей, специальностей и учреждений (организаций), с учетом которых досрочно назначается страховая пенсия по старости, и правилах исчисления периодов работы (деятельности), дающей право на досрочное пенсионное обеспечение»;</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постановлением Правительства Российской Федерации от 2 октября 2014 г. № 1015 «Об утверждении Правил подсчета и подтверждения страхового стажа для установления страховых пенсий» (далее – постановление Правительства Российской Федерации от 2 октября 2014 г. № 1015);</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постановлением Министерства труда и социального развития Российской Федерации от 10 октября 2003 г. № 69 «Об утверждении Инструкции по заполнению трудовых книжек»;</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7262B">
        <w:rPr>
          <w:rFonts w:ascii="Times New Roman" w:eastAsia="Times New Roman" w:hAnsi="Times New Roman" w:cs="Times New Roman"/>
          <w:sz w:val="24"/>
          <w:szCs w:val="24"/>
          <w:lang w:eastAsia="ru-RU"/>
        </w:rPr>
        <w:t>приказом Министерства здравоохранения и социального развития Российской Федерации от 24 ноября 2010 г. № 1031н «О формах справки, подтверждающей факт установления инвалидности, и выписки из акта освидетельствования гражданина, признанного инвалидом, выдаваемых федеральными государственными учреждениями медико-социальной экспертизы, и порядке их составления» (с изменениями, внесенными приказом Министерством труда и социальной защиты Российской Федерации от 17 июня 2013 г. № 272н;</w:t>
      </w:r>
      <w:proofErr w:type="gramEnd"/>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приказом Министерства здравоохранения и социального развития Российской Федерации от 31 марта 2011 г. № 258н «Об утверждении Порядка подтверждения периодов работы, дающей право на досрочное назначение трудовой пенсии по старости»;</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7262B">
        <w:rPr>
          <w:rFonts w:ascii="Times New Roman" w:eastAsia="Times New Roman" w:hAnsi="Times New Roman" w:cs="Times New Roman"/>
          <w:sz w:val="24"/>
          <w:szCs w:val="24"/>
          <w:lang w:eastAsia="ru-RU"/>
        </w:rPr>
        <w:lastRenderedPageBreak/>
        <w:t>приказом Министерства труда и социальной защиты Российской Федерации от 21 ноября 2014 г. № 884н «Об утверждении Правил обращения за страховой пенсией, фиксированной выплатой к страховой пенсии с учетом повышения фиксированной выплаты к страховой пенсии, накопительной пенсией, в том числе работодателей, и пенсией по государственному пенсионному обеспечению, их назначения, установления, перерасчета, корректировки их размера, в том числе лицам, не имеющим постоянного</w:t>
      </w:r>
      <w:proofErr w:type="gramEnd"/>
      <w:r w:rsidRPr="00E7262B">
        <w:rPr>
          <w:rFonts w:ascii="Times New Roman" w:eastAsia="Times New Roman" w:hAnsi="Times New Roman" w:cs="Times New Roman"/>
          <w:sz w:val="24"/>
          <w:szCs w:val="24"/>
          <w:lang w:eastAsia="ru-RU"/>
        </w:rPr>
        <w:t xml:space="preserve"> места жительства на территории Российской Федерации, проведения проверок документов, необходимых для их установления, перевода с одного вида пенсии на другой в соответствии с федеральными законами   «О страховых пенсиях», «О накопительной пенсии» и «О государственном пенсионном обеспечении в Российской Федерации»;</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приказом Министерства труда и социальной защиты Российской Федерации от 28 ноября 2014 г. № 958н «Об утверждении перечня документов, необходимых для установления страховой пенсии, установления и перерасчета размера фиксированной выплаты к страховой пенсии с учетом повышения фиксированной выплаты к страховой пенсии, назначения накопительной пенсии, установления пенсии по государственному пенсионному обеспечению».</w:t>
      </w:r>
    </w:p>
    <w:p w:rsidR="00E7262B" w:rsidRPr="00E7262B" w:rsidRDefault="00E7262B" w:rsidP="00E7262B">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1" w:history="1">
        <w:r w:rsidRPr="00E7262B">
          <w:rPr>
            <w:rFonts w:ascii="Times New Roman" w:eastAsia="Times New Roman" w:hAnsi="Times New Roman" w:cs="Times New Roman"/>
            <w:b/>
            <w:bCs/>
            <w:color w:val="0000FF"/>
            <w:sz w:val="27"/>
            <w:szCs w:val="27"/>
            <w:u w:val="single"/>
            <w:lang w:eastAsia="ru-RU"/>
          </w:rPr>
          <w:t xml:space="preserve">Максимальный срок ожидания в очереди при подаче заявления о предоставлении государственной услуги и при получении результата предоставления государственной услуги </w:t>
        </w:r>
      </w:hyperlink>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Время ожидания в очереди при обращении по вопросам предоставления государственной услуги не должно превышать 15 минут.</w:t>
      </w:r>
    </w:p>
    <w:p w:rsidR="00E7262B" w:rsidRPr="00E7262B" w:rsidRDefault="00E7262B" w:rsidP="00E7262B">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2" w:history="1">
        <w:r w:rsidRPr="00E7262B">
          <w:rPr>
            <w:rFonts w:ascii="Times New Roman" w:eastAsia="Times New Roman" w:hAnsi="Times New Roman" w:cs="Times New Roman"/>
            <w:b/>
            <w:bCs/>
            <w:color w:val="0000FF"/>
            <w:sz w:val="27"/>
            <w:szCs w:val="27"/>
            <w:u w:val="single"/>
            <w:lang w:eastAsia="ru-RU"/>
          </w:rPr>
          <w:t xml:space="preserve">Порядок, размер и основания взимания государственной пошлины или иной платы, взимаемой за предоставление государственной услуги </w:t>
        </w:r>
      </w:hyperlink>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Предоставление территориальными органами ПФР государственной услуги осуществляется бесплатно.</w:t>
      </w:r>
    </w:p>
    <w:p w:rsidR="00E7262B" w:rsidRPr="00E7262B" w:rsidRDefault="00E7262B" w:rsidP="00E7262B">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3" w:history="1">
        <w:r w:rsidRPr="00E7262B">
          <w:rPr>
            <w:rFonts w:ascii="Times New Roman" w:eastAsia="Times New Roman" w:hAnsi="Times New Roman" w:cs="Times New Roman"/>
            <w:b/>
            <w:bCs/>
            <w:color w:val="0000FF"/>
            <w:sz w:val="27"/>
            <w:szCs w:val="27"/>
            <w:u w:val="single"/>
            <w:lang w:eastAsia="ru-RU"/>
          </w:rPr>
          <w:t xml:space="preserve">Исчерпывающий перечень оснований для отказа в приеме документов, необходимых для предоставления государственной услуги </w:t>
        </w:r>
      </w:hyperlink>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Основания для отказа в приеме заявления со всеми документами, необходимыми для предоставления государственной услуги, отсутствуют.</w:t>
      </w:r>
    </w:p>
    <w:p w:rsidR="00E7262B" w:rsidRPr="00E7262B" w:rsidRDefault="00E7262B" w:rsidP="00E7262B">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4" w:history="1">
        <w:r w:rsidRPr="00E7262B">
          <w:rPr>
            <w:rFonts w:ascii="Times New Roman" w:eastAsia="Times New Roman" w:hAnsi="Times New Roman" w:cs="Times New Roman"/>
            <w:b/>
            <w:bCs/>
            <w:color w:val="0000FF"/>
            <w:sz w:val="27"/>
            <w:szCs w:val="27"/>
            <w:u w:val="single"/>
            <w:lang w:eastAsia="ru-RU"/>
          </w:rPr>
          <w:t xml:space="preserve">Исчерпывающий перечень оснований для приостановления или отказа в предоставлении государственной услуги </w:t>
        </w:r>
      </w:hyperlink>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Основания для приостановления или отказа в предоставлении государственной услуги отсутствуют.</w:t>
      </w:r>
    </w:p>
    <w:p w:rsidR="00E7262B" w:rsidRPr="00E7262B" w:rsidRDefault="00E7262B" w:rsidP="00E7262B">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5" w:history="1">
        <w:proofErr w:type="gramStart"/>
        <w:r w:rsidRPr="00E7262B">
          <w:rPr>
            <w:rFonts w:ascii="Times New Roman" w:eastAsia="Times New Roman" w:hAnsi="Times New Roman" w:cs="Times New Roman"/>
            <w:b/>
            <w:bCs/>
            <w:color w:val="0000FF"/>
            <w:sz w:val="27"/>
            <w:szCs w:val="27"/>
            <w:u w:val="single"/>
            <w:lang w:eastAsia="ru-RU"/>
          </w:rPr>
          <w:t xml:space="preserve">Исчерпывающий перечень документов, необходимых в соответствии 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гражданин вправе представить, а также способы их получения гражданином, в том числе в электронной форме, порядок их представления </w:t>
        </w:r>
      </w:hyperlink>
      <w:proofErr w:type="gramEnd"/>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lastRenderedPageBreak/>
        <w:t>Территориальный орган ПФР при предоставлении государственной услуги не вправе требовать от гражданина:</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7262B">
        <w:rPr>
          <w:rFonts w:ascii="Times New Roman" w:eastAsia="Times New Roman" w:hAnsi="Times New Roman" w:cs="Times New Roman"/>
          <w:sz w:val="24"/>
          <w:szCs w:val="24"/>
          <w:lang w:eastAsia="ru-RU"/>
        </w:rPr>
        <w:t>представления документов и информации, которые находятся в распоряжении территориальных органов ПФР,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за исключением документов, включенных в определенный частью 6 статьи 7 Федерального закона от 27 июля 2010 г</w:t>
      </w:r>
      <w:proofErr w:type="gramEnd"/>
      <w:r w:rsidRPr="00E7262B">
        <w:rPr>
          <w:rFonts w:ascii="Times New Roman" w:eastAsia="Times New Roman" w:hAnsi="Times New Roman" w:cs="Times New Roman"/>
          <w:sz w:val="24"/>
          <w:szCs w:val="24"/>
          <w:lang w:eastAsia="ru-RU"/>
        </w:rPr>
        <w:t>. № 210-ФЗ перечень документов.</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Гражданин вправе представить документы, которые находятся в распоряжении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дополнительно к документам, необходимым для предоставления государственной услуги, подлежащим представлению гражданином.</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7262B">
        <w:rPr>
          <w:rFonts w:ascii="Times New Roman" w:eastAsia="Times New Roman" w:hAnsi="Times New Roman" w:cs="Times New Roman"/>
          <w:sz w:val="24"/>
          <w:szCs w:val="24"/>
          <w:lang w:eastAsia="ru-RU"/>
        </w:rPr>
        <w:t>В качестве документа, подтверждающего место жительства на территории Российской Федерации гражданина Российской Федерации, гражданин вправе представить паспорт гражданина Российской Федерации, удостоверяющий личность гражданина Российской Федерации на территории Российской Федерации, с отметкой о месте регистрации по месту жительства, временное удостоверение личности гражданина Российской Федерации, а граждане, не достигшие 14-летнего возраста – свидетельство о регистрации по месту жительства, выданное территориальным органом Федеральной миграционной</w:t>
      </w:r>
      <w:proofErr w:type="gramEnd"/>
      <w:r w:rsidRPr="00E7262B">
        <w:rPr>
          <w:rFonts w:ascii="Times New Roman" w:eastAsia="Times New Roman" w:hAnsi="Times New Roman" w:cs="Times New Roman"/>
          <w:sz w:val="24"/>
          <w:szCs w:val="24"/>
          <w:lang w:eastAsia="ru-RU"/>
        </w:rPr>
        <w:t xml:space="preserve"> службы.</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В качестве документа, подтверждающего место пребывания на территории Российской Федерации гражданина Российской Федерации, гражданин вправе представить свидетельство о регистрации по месту пребывания на территории Российской Федерации, временное удостоверение личности гражданина Российской Федерации.</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В качестве документа, подтверждающего постоянное проживание на территории Российской Федерации иностранного гражданина или лица без гражданства, гражданин вправе представить вид на жительство в качестве документа, подтверждающего его место жительства, гражданин вправе представить вид на жительство с отметкой о месте регистрации по месту жительства</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В качестве документа, подтверждающего период постоянного проживания иностранного гражданина и лица без гражданства на территории Российской Федерации гражданин вправе представить вид на жительство.</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В качестве документа, подтверждающего гражданство Российской Федерации гражданин вправе представить:</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lastRenderedPageBreak/>
        <w:t>паспорт гражданина Российской Федерации, удостоверяющий личность гражданина Российской Федерации на территории Российской Федерации, выданный Федеральной миграционной службой или ее территориальным органом.</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В качестве документа, подтверждающего факт получения (неполучения) пенсии в соответствии с Законом от 12 февраля 1993 г. № 4468-1, гражданин вправе представить справку, выданную органом, выплачивающим (выплачивавшим) пенсию.</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7262B">
        <w:rPr>
          <w:rFonts w:ascii="Times New Roman" w:eastAsia="Times New Roman" w:hAnsi="Times New Roman" w:cs="Times New Roman"/>
          <w:sz w:val="24"/>
          <w:szCs w:val="24"/>
          <w:lang w:eastAsia="ru-RU"/>
        </w:rPr>
        <w:t>В качестве документа, подтверждающего, что гражданин после возникновения права на страховую пенсию по старости (в том числе досрочно), отказа от получения установленной (в том числе досрочно) страховой пенсии по старости не является (не являлся) получателем ежемесячного пожизненного содержания, предусмотренного законодательством Российской Федерации, гражданин вправе представить справку, выданную органом, осуществляющим специальное пенсионное обеспечение судей.</w:t>
      </w:r>
      <w:proofErr w:type="gramEnd"/>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В качестве документов, подтверждающих иные периоды, засчитываемые в страховой стаж согласно пунктам 4, 7 и 8 части 1 статьи 12 Федерального закона от 28 декабря 2013 г. № 400-ФЗ, гражданин вправе представить:</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7262B">
        <w:rPr>
          <w:rFonts w:ascii="Times New Roman" w:eastAsia="Times New Roman" w:hAnsi="Times New Roman" w:cs="Times New Roman"/>
          <w:sz w:val="24"/>
          <w:szCs w:val="24"/>
          <w:lang w:eastAsia="ru-RU"/>
        </w:rPr>
        <w:t>для подтверждения периода получения пособия по безработице, периода участия в оплачиваемых общественных работах и периода переезда или переселения по направлению государственной службы занятости в другую местность для трудоустройства – справку государственного учреждения службы занятости населения по форме согласно приложению № 2 к Правилам подсчета и подтверждения страхового стажа для установления страховых пенсий, утвержденным постановлением Правительства от 2 октября 2014 г. № 1015;</w:t>
      </w:r>
      <w:proofErr w:type="gramEnd"/>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7262B">
        <w:rPr>
          <w:rFonts w:ascii="Times New Roman" w:eastAsia="Times New Roman" w:hAnsi="Times New Roman" w:cs="Times New Roman"/>
          <w:sz w:val="24"/>
          <w:szCs w:val="24"/>
          <w:lang w:eastAsia="ru-RU"/>
        </w:rPr>
        <w:t>для подтверждения периодов проживания супругов военнослужащих, проходящих (проходивших) военную службу по контракту (действительную (сверхсрочную) военную службу), вместе с супругами в местностях, где они не могли трудиться в связи с отсутствием возможности трудоустройства, имевшего место до 1 января 2009 г., – справки воинских частей (учреждений, предприятий и иных организаций), военных комиссариатов по форме согласно приложению № 4 к Правилам подсчета и подтверждения страхового</w:t>
      </w:r>
      <w:proofErr w:type="gramEnd"/>
      <w:r w:rsidRPr="00E7262B">
        <w:rPr>
          <w:rFonts w:ascii="Times New Roman" w:eastAsia="Times New Roman" w:hAnsi="Times New Roman" w:cs="Times New Roman"/>
          <w:sz w:val="24"/>
          <w:szCs w:val="24"/>
          <w:lang w:eastAsia="ru-RU"/>
        </w:rPr>
        <w:t xml:space="preserve"> стажа для установления страховых пенсий, утвержденным постановлением Правительства от 2 октября 2014 г. № 1015;</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7262B">
        <w:rPr>
          <w:rFonts w:ascii="Times New Roman" w:eastAsia="Times New Roman" w:hAnsi="Times New Roman" w:cs="Times New Roman"/>
          <w:sz w:val="24"/>
          <w:szCs w:val="24"/>
          <w:lang w:eastAsia="ru-RU"/>
        </w:rPr>
        <w:t>для подтверждения периодов, названных в абзацах втором - третьем настоящего пункта, имевших место после 1 января 2009 г., – справки воинских частей (учреждений, предприятий и иных организаций), военных комиссариатов и справки государственного учреждения службы занятости населения по формам согласно приложениям № 4 и 2 к Правилам подсчета и подтверждения страхового стажа для установления страховых пенсий, утвержденным постановлением Правительства от 2 октября 2014 г</w:t>
      </w:r>
      <w:proofErr w:type="gramEnd"/>
      <w:r w:rsidRPr="00E7262B">
        <w:rPr>
          <w:rFonts w:ascii="Times New Roman" w:eastAsia="Times New Roman" w:hAnsi="Times New Roman" w:cs="Times New Roman"/>
          <w:sz w:val="24"/>
          <w:szCs w:val="24"/>
          <w:lang w:eastAsia="ru-RU"/>
        </w:rPr>
        <w:t>. № 1015, соответственно;</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7262B">
        <w:rPr>
          <w:rFonts w:ascii="Times New Roman" w:eastAsia="Times New Roman" w:hAnsi="Times New Roman" w:cs="Times New Roman"/>
          <w:sz w:val="24"/>
          <w:szCs w:val="24"/>
          <w:lang w:eastAsia="ru-RU"/>
        </w:rPr>
        <w:t>для подтверждения периодов проживания супругов военнослужащих, проходивших военную службу по контракту (действительную (сверхсрочную) военную службу) в воинском формировании Российской Федерации (СССР), дислоцированном на территории иностранного государства, независимо от времени ее прохождения, – справки воинских частей (учреждений, предприятий и иных организаций), военных комиссариатов по форме согласно приложению   № 4 к Правилам подсчета и подтверждения страхового стажа для установления страховых пенсий, утвержденным постановлением Правительства</w:t>
      </w:r>
      <w:proofErr w:type="gramEnd"/>
      <w:r w:rsidRPr="00E7262B">
        <w:rPr>
          <w:rFonts w:ascii="Times New Roman" w:eastAsia="Times New Roman" w:hAnsi="Times New Roman" w:cs="Times New Roman"/>
          <w:sz w:val="24"/>
          <w:szCs w:val="24"/>
          <w:lang w:eastAsia="ru-RU"/>
        </w:rPr>
        <w:t xml:space="preserve"> от 2 октября 2014 г. № 1015;</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7262B">
        <w:rPr>
          <w:rFonts w:ascii="Times New Roman" w:eastAsia="Times New Roman" w:hAnsi="Times New Roman" w:cs="Times New Roman"/>
          <w:sz w:val="24"/>
          <w:szCs w:val="24"/>
          <w:lang w:eastAsia="ru-RU"/>
        </w:rPr>
        <w:lastRenderedPageBreak/>
        <w:t>для подтверждения периодов проживания за границей супругов работников, направленных в дипломатические представительства и консульские учреждения Российской Федерации, – справки организаций, направлявших работника на работу в указанные учреждения и организации, по форме согласно приложению № 5 к Правилам подсчета и подтверждения страхового стажа для установления страховых пенсий, утвержденным постановлением Правительства от 2 октября 2014 г. № 1015.</w:t>
      </w:r>
      <w:proofErr w:type="gramEnd"/>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В качестве документов, подтверждающих заработок (доход), полученный в связи с выполнением предпринимательской деятельности, гражданин вправе представить справки налоговых органов о декларированных доходах.</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В качестве документа, подтверждающего принадлежность к малочисленным народам Севера, при отсутствии в паспорте либо свидетельстве о рождении требуемых сведений гражданин вправе представить справку, выданную органами местного самоуправления.</w:t>
      </w:r>
    </w:p>
    <w:p w:rsidR="00E7262B" w:rsidRPr="00E7262B" w:rsidRDefault="00E7262B" w:rsidP="00E7262B">
      <w:pPr>
        <w:spacing w:before="100" w:beforeAutospacing="1" w:after="100" w:afterAutospacing="1" w:line="240" w:lineRule="auto"/>
        <w:rPr>
          <w:rFonts w:ascii="Times New Roman" w:eastAsia="Times New Roman" w:hAnsi="Times New Roman" w:cs="Times New Roman"/>
          <w:sz w:val="24"/>
          <w:szCs w:val="24"/>
          <w:lang w:eastAsia="ru-RU"/>
        </w:rPr>
      </w:pPr>
      <w:r w:rsidRPr="00E7262B">
        <w:rPr>
          <w:rFonts w:ascii="Times New Roman" w:eastAsia="Times New Roman" w:hAnsi="Times New Roman" w:cs="Times New Roman"/>
          <w:sz w:val="24"/>
          <w:szCs w:val="24"/>
          <w:lang w:eastAsia="ru-RU"/>
        </w:rPr>
        <w:t>Гражданин при обращении за назначением страховой пенсии по старости вправе представить документы о периодах службы, предшествовавших назначению пенсии по инвалидности, либо о периодах службы, работы и иной деятельности, учтенных при определении размера пенсии за выслугу лет в соответствии с Законом от 12 февраля 1993 г.   № 4468-1.</w:t>
      </w:r>
    </w:p>
    <w:p w:rsidR="00A55D33" w:rsidRDefault="00A55D33"/>
    <w:sectPr w:rsidR="00A55D3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07544C"/>
    <w:multiLevelType w:val="multilevel"/>
    <w:tmpl w:val="6C382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1D2A"/>
    <w:rsid w:val="00631D2A"/>
    <w:rsid w:val="00A55D33"/>
    <w:rsid w:val="00E726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7262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E7262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7262B"/>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E7262B"/>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E7262B"/>
    <w:rPr>
      <w:color w:val="0000FF"/>
      <w:u w:val="single"/>
    </w:rPr>
  </w:style>
  <w:style w:type="paragraph" w:styleId="a4">
    <w:name w:val="Normal (Web)"/>
    <w:basedOn w:val="a"/>
    <w:uiPriority w:val="99"/>
    <w:semiHidden/>
    <w:unhideWhenUsed/>
    <w:rsid w:val="00E7262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E7262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7262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7262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E7262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7262B"/>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E7262B"/>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E7262B"/>
    <w:rPr>
      <w:color w:val="0000FF"/>
      <w:u w:val="single"/>
    </w:rPr>
  </w:style>
  <w:style w:type="paragraph" w:styleId="a4">
    <w:name w:val="Normal (Web)"/>
    <w:basedOn w:val="a"/>
    <w:uiPriority w:val="99"/>
    <w:semiHidden/>
    <w:unhideWhenUsed/>
    <w:rsid w:val="00E7262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E7262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7262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322748">
      <w:bodyDiv w:val="1"/>
      <w:marLeft w:val="0"/>
      <w:marRight w:val="0"/>
      <w:marTop w:val="0"/>
      <w:marBottom w:val="0"/>
      <w:divBdr>
        <w:top w:val="none" w:sz="0" w:space="0" w:color="auto"/>
        <w:left w:val="none" w:sz="0" w:space="0" w:color="auto"/>
        <w:bottom w:val="none" w:sz="0" w:space="0" w:color="auto"/>
        <w:right w:val="none" w:sz="0" w:space="0" w:color="auto"/>
      </w:divBdr>
      <w:divsChild>
        <w:div w:id="165705431">
          <w:marLeft w:val="0"/>
          <w:marRight w:val="0"/>
          <w:marTop w:val="0"/>
          <w:marBottom w:val="0"/>
          <w:divBdr>
            <w:top w:val="none" w:sz="0" w:space="0" w:color="auto"/>
            <w:left w:val="none" w:sz="0" w:space="0" w:color="auto"/>
            <w:bottom w:val="none" w:sz="0" w:space="0" w:color="auto"/>
            <w:right w:val="none" w:sz="0" w:space="0" w:color="auto"/>
          </w:divBdr>
          <w:divsChild>
            <w:div w:id="1325667877">
              <w:marLeft w:val="0"/>
              <w:marRight w:val="0"/>
              <w:marTop w:val="0"/>
              <w:marBottom w:val="0"/>
              <w:divBdr>
                <w:top w:val="none" w:sz="0" w:space="0" w:color="auto"/>
                <w:left w:val="none" w:sz="0" w:space="0" w:color="auto"/>
                <w:bottom w:val="none" w:sz="0" w:space="0" w:color="auto"/>
                <w:right w:val="none" w:sz="0" w:space="0" w:color="auto"/>
              </w:divBdr>
            </w:div>
          </w:divsChild>
        </w:div>
        <w:div w:id="924531636">
          <w:marLeft w:val="0"/>
          <w:marRight w:val="0"/>
          <w:marTop w:val="0"/>
          <w:marBottom w:val="0"/>
          <w:divBdr>
            <w:top w:val="none" w:sz="0" w:space="0" w:color="auto"/>
            <w:left w:val="none" w:sz="0" w:space="0" w:color="auto"/>
            <w:bottom w:val="none" w:sz="0" w:space="0" w:color="auto"/>
            <w:right w:val="none" w:sz="0" w:space="0" w:color="auto"/>
          </w:divBdr>
          <w:divsChild>
            <w:div w:id="1483162186">
              <w:marLeft w:val="0"/>
              <w:marRight w:val="0"/>
              <w:marTop w:val="0"/>
              <w:marBottom w:val="0"/>
              <w:divBdr>
                <w:top w:val="none" w:sz="0" w:space="0" w:color="auto"/>
                <w:left w:val="none" w:sz="0" w:space="0" w:color="auto"/>
                <w:bottom w:val="none" w:sz="0" w:space="0" w:color="auto"/>
                <w:right w:val="none" w:sz="0" w:space="0" w:color="auto"/>
              </w:divBdr>
              <w:divsChild>
                <w:div w:id="202180037">
                  <w:marLeft w:val="0"/>
                  <w:marRight w:val="0"/>
                  <w:marTop w:val="0"/>
                  <w:marBottom w:val="0"/>
                  <w:divBdr>
                    <w:top w:val="none" w:sz="0" w:space="0" w:color="auto"/>
                    <w:left w:val="none" w:sz="0" w:space="0" w:color="auto"/>
                    <w:bottom w:val="none" w:sz="0" w:space="0" w:color="auto"/>
                    <w:right w:val="none" w:sz="0" w:space="0" w:color="auto"/>
                  </w:divBdr>
                  <w:divsChild>
                    <w:div w:id="1259943067">
                      <w:marLeft w:val="750"/>
                      <w:marRight w:val="375"/>
                      <w:marTop w:val="0"/>
                      <w:marBottom w:val="0"/>
                      <w:divBdr>
                        <w:top w:val="none" w:sz="0" w:space="0" w:color="auto"/>
                        <w:left w:val="none" w:sz="0" w:space="0" w:color="auto"/>
                        <w:bottom w:val="none" w:sz="0" w:space="0" w:color="auto"/>
                        <w:right w:val="none" w:sz="0" w:space="0" w:color="auto"/>
                      </w:divBdr>
                    </w:div>
                    <w:div w:id="1069764560">
                      <w:marLeft w:val="750"/>
                      <w:marRight w:val="375"/>
                      <w:marTop w:val="0"/>
                      <w:marBottom w:val="0"/>
                      <w:divBdr>
                        <w:top w:val="none" w:sz="0" w:space="0" w:color="auto"/>
                        <w:left w:val="none" w:sz="0" w:space="0" w:color="auto"/>
                        <w:bottom w:val="none" w:sz="0" w:space="0" w:color="auto"/>
                        <w:right w:val="none" w:sz="0" w:space="0" w:color="auto"/>
                      </w:divBdr>
                    </w:div>
                    <w:div w:id="189034471">
                      <w:marLeft w:val="750"/>
                      <w:marRight w:val="375"/>
                      <w:marTop w:val="0"/>
                      <w:marBottom w:val="0"/>
                      <w:divBdr>
                        <w:top w:val="none" w:sz="0" w:space="0" w:color="auto"/>
                        <w:left w:val="none" w:sz="0" w:space="0" w:color="auto"/>
                        <w:bottom w:val="none" w:sz="0" w:space="0" w:color="auto"/>
                        <w:right w:val="none" w:sz="0" w:space="0" w:color="auto"/>
                      </w:divBdr>
                    </w:div>
                    <w:div w:id="711538440">
                      <w:marLeft w:val="0"/>
                      <w:marRight w:val="0"/>
                      <w:marTop w:val="0"/>
                      <w:marBottom w:val="0"/>
                      <w:divBdr>
                        <w:top w:val="none" w:sz="0" w:space="0" w:color="auto"/>
                        <w:left w:val="none" w:sz="0" w:space="0" w:color="auto"/>
                        <w:bottom w:val="none" w:sz="0" w:space="0" w:color="auto"/>
                        <w:right w:val="none" w:sz="0" w:space="0" w:color="auto"/>
                      </w:divBdr>
                    </w:div>
                    <w:div w:id="1200821424">
                      <w:marLeft w:val="0"/>
                      <w:marRight w:val="0"/>
                      <w:marTop w:val="0"/>
                      <w:marBottom w:val="0"/>
                      <w:divBdr>
                        <w:top w:val="none" w:sz="0" w:space="0" w:color="auto"/>
                        <w:left w:val="none" w:sz="0" w:space="0" w:color="auto"/>
                        <w:bottom w:val="none" w:sz="0" w:space="0" w:color="auto"/>
                        <w:right w:val="none" w:sz="0" w:space="0" w:color="auto"/>
                      </w:divBdr>
                    </w:div>
                    <w:div w:id="1918467790">
                      <w:marLeft w:val="0"/>
                      <w:marRight w:val="0"/>
                      <w:marTop w:val="0"/>
                      <w:marBottom w:val="0"/>
                      <w:divBdr>
                        <w:top w:val="none" w:sz="0" w:space="0" w:color="auto"/>
                        <w:left w:val="none" w:sz="0" w:space="0" w:color="auto"/>
                        <w:bottom w:val="none" w:sz="0" w:space="0" w:color="auto"/>
                        <w:right w:val="none" w:sz="0" w:space="0" w:color="auto"/>
                      </w:divBdr>
                    </w:div>
                    <w:div w:id="1355614952">
                      <w:marLeft w:val="0"/>
                      <w:marRight w:val="0"/>
                      <w:marTop w:val="0"/>
                      <w:marBottom w:val="0"/>
                      <w:divBdr>
                        <w:top w:val="none" w:sz="0" w:space="0" w:color="auto"/>
                        <w:left w:val="none" w:sz="0" w:space="0" w:color="auto"/>
                        <w:bottom w:val="none" w:sz="0" w:space="0" w:color="auto"/>
                        <w:right w:val="none" w:sz="0" w:space="0" w:color="auto"/>
                      </w:divBdr>
                    </w:div>
                    <w:div w:id="1707481414">
                      <w:marLeft w:val="0"/>
                      <w:marRight w:val="0"/>
                      <w:marTop w:val="0"/>
                      <w:marBottom w:val="0"/>
                      <w:divBdr>
                        <w:top w:val="none" w:sz="0" w:space="0" w:color="auto"/>
                        <w:left w:val="none" w:sz="0" w:space="0" w:color="auto"/>
                        <w:bottom w:val="none" w:sz="0" w:space="0" w:color="auto"/>
                        <w:right w:val="none" w:sz="0" w:space="0" w:color="auto"/>
                      </w:divBdr>
                    </w:div>
                    <w:div w:id="851144739">
                      <w:marLeft w:val="0"/>
                      <w:marRight w:val="0"/>
                      <w:marTop w:val="0"/>
                      <w:marBottom w:val="0"/>
                      <w:divBdr>
                        <w:top w:val="none" w:sz="0" w:space="0" w:color="auto"/>
                        <w:left w:val="none" w:sz="0" w:space="0" w:color="auto"/>
                        <w:bottom w:val="none" w:sz="0" w:space="0" w:color="auto"/>
                        <w:right w:val="none" w:sz="0" w:space="0" w:color="auto"/>
                      </w:divBdr>
                    </w:div>
                    <w:div w:id="214434882">
                      <w:marLeft w:val="0"/>
                      <w:marRight w:val="0"/>
                      <w:marTop w:val="0"/>
                      <w:marBottom w:val="0"/>
                      <w:divBdr>
                        <w:top w:val="none" w:sz="0" w:space="0" w:color="auto"/>
                        <w:left w:val="none" w:sz="0" w:space="0" w:color="auto"/>
                        <w:bottom w:val="none" w:sz="0" w:space="0" w:color="auto"/>
                        <w:right w:val="none" w:sz="0" w:space="0" w:color="auto"/>
                      </w:divBdr>
                    </w:div>
                    <w:div w:id="1829976526">
                      <w:marLeft w:val="0"/>
                      <w:marRight w:val="0"/>
                      <w:marTop w:val="0"/>
                      <w:marBottom w:val="0"/>
                      <w:divBdr>
                        <w:top w:val="none" w:sz="0" w:space="0" w:color="auto"/>
                        <w:left w:val="none" w:sz="0" w:space="0" w:color="auto"/>
                        <w:bottom w:val="none" w:sz="0" w:space="0" w:color="auto"/>
                        <w:right w:val="none" w:sz="0" w:space="0" w:color="auto"/>
                      </w:divBdr>
                    </w:div>
                    <w:div w:id="1035539207">
                      <w:marLeft w:val="0"/>
                      <w:marRight w:val="0"/>
                      <w:marTop w:val="0"/>
                      <w:marBottom w:val="0"/>
                      <w:divBdr>
                        <w:top w:val="none" w:sz="0" w:space="0" w:color="auto"/>
                        <w:left w:val="none" w:sz="0" w:space="0" w:color="auto"/>
                        <w:bottom w:val="none" w:sz="0" w:space="0" w:color="auto"/>
                        <w:right w:val="none" w:sz="0" w:space="0" w:color="auto"/>
                      </w:divBdr>
                    </w:div>
                    <w:div w:id="194387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frf.ru/info/smev/perech_gosulug/%7E2913" TargetMode="External"/><Relationship Id="rId13" Type="http://schemas.openxmlformats.org/officeDocument/2006/relationships/hyperlink" Target="http://www.pfrf.ru/info/smev/perech_gosulug/%7E2913" TargetMode="External"/><Relationship Id="rId3" Type="http://schemas.microsoft.com/office/2007/relationships/stylesWithEffects" Target="stylesWithEffects.xml"/><Relationship Id="rId7" Type="http://schemas.openxmlformats.org/officeDocument/2006/relationships/hyperlink" Target="http://www.pfrf.ru/info/smev/perech_gosulug/%7E2913" TargetMode="External"/><Relationship Id="rId12" Type="http://schemas.openxmlformats.org/officeDocument/2006/relationships/hyperlink" Target="http://www.pfrf.ru/info/smev/perech_gosulug/%7E291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pfrf.ru/info/smev/perech_gosulug/%7E2913" TargetMode="External"/><Relationship Id="rId11" Type="http://schemas.openxmlformats.org/officeDocument/2006/relationships/hyperlink" Target="http://www.pfrf.ru/info/smev/perech_gosulug/%7E2913" TargetMode="External"/><Relationship Id="rId5" Type="http://schemas.openxmlformats.org/officeDocument/2006/relationships/webSettings" Target="webSettings.xml"/><Relationship Id="rId15" Type="http://schemas.openxmlformats.org/officeDocument/2006/relationships/hyperlink" Target="http://www.pfrf.ru/info/smev/perech_gosulug/%7E2913" TargetMode="External"/><Relationship Id="rId10" Type="http://schemas.openxmlformats.org/officeDocument/2006/relationships/hyperlink" Target="http://www.pfrf.ru/info/smev/perech_gosulug/%7E2913" TargetMode="External"/><Relationship Id="rId4" Type="http://schemas.openxmlformats.org/officeDocument/2006/relationships/settings" Target="settings.xml"/><Relationship Id="rId9" Type="http://schemas.openxmlformats.org/officeDocument/2006/relationships/hyperlink" Target="http://www.pfrf.ru/info/smev/perech_gosulug/%7E2913" TargetMode="External"/><Relationship Id="rId14" Type="http://schemas.openxmlformats.org/officeDocument/2006/relationships/hyperlink" Target="http://www.pfrf.ru/info/smev/perech_gosulug/%7E291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3533</Words>
  <Characters>20141</Characters>
  <Application>Microsoft Office Word</Application>
  <DocSecurity>0</DocSecurity>
  <Lines>167</Lines>
  <Paragraphs>47</Paragraphs>
  <ScaleCrop>false</ScaleCrop>
  <Company/>
  <LinksUpToDate>false</LinksUpToDate>
  <CharactersWithSpaces>23627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2018-04-28T07:37:00Z</dcterms:created>
  <dcterms:modified xsi:type="dcterms:W3CDTF">2018-04-28T07:38:00Z</dcterms:modified>
</cp:coreProperties>
</file>