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FA8" w:rsidRPr="00605FA8" w:rsidRDefault="00605FA8" w:rsidP="00605F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05FA8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05F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05FA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Чем гарантируется сохранность денежных средств накопительной пенсии? Если доходность будет отрицательная, то кто компенсирует потери?</w:t>
        </w:r>
      </w:hyperlink>
      <w:r w:rsidRPr="00605F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05FA8" w:rsidRPr="00605FA8" w:rsidRDefault="00605FA8" w:rsidP="00605FA8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05FA8">
        <w:rPr>
          <w:rFonts w:ascii="Arial" w:eastAsia="Times New Roman" w:hAnsi="Arial" w:cs="Arial"/>
          <w:color w:val="000000"/>
          <w:lang w:eastAsia="ru-RU"/>
        </w:rPr>
        <w:t xml:space="preserve">Государство контролирует деятельность организаций, которые управляют средствами пенсионных накоплений граждан, частью которых являются средства, внесенные в рамках Программы государственного </w:t>
      </w:r>
      <w:proofErr w:type="spellStart"/>
      <w:r w:rsidRPr="00605FA8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605FA8">
        <w:rPr>
          <w:rFonts w:ascii="Arial" w:eastAsia="Times New Roman" w:hAnsi="Arial" w:cs="Arial"/>
          <w:color w:val="000000"/>
          <w:lang w:eastAsia="ru-RU"/>
        </w:rPr>
        <w:t xml:space="preserve"> пенсии. Их работа регулируется Центральным банком Российской Федерации.</w:t>
      </w:r>
    </w:p>
    <w:p w:rsidR="00605FA8" w:rsidRPr="00605FA8" w:rsidRDefault="00605FA8" w:rsidP="00605FA8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05FA8">
        <w:rPr>
          <w:rFonts w:ascii="Arial" w:eastAsia="Times New Roman" w:hAnsi="Arial" w:cs="Arial"/>
          <w:color w:val="000000"/>
          <w:lang w:eastAsia="ru-RU"/>
        </w:rPr>
        <w:t>Средства накопительной пенсии инвестирует на финансовом рынке выбранный гражданином негосударственный пенсионный фонд или управляющая компания. Доходность пенсионных накоплений зависит от результатов их инвестирования, то есть может быть и убыток от их инвестирования. В этом случае к выплате гарантируется лишь сумма уплаченных страховых взносов.</w:t>
      </w:r>
    </w:p>
    <w:p w:rsidR="00605FA8" w:rsidRPr="00605FA8" w:rsidRDefault="00605FA8" w:rsidP="00605FA8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05FA8">
        <w:rPr>
          <w:rFonts w:ascii="Arial" w:eastAsia="Times New Roman" w:hAnsi="Arial" w:cs="Arial"/>
          <w:color w:val="000000"/>
          <w:lang w:eastAsia="ru-RU"/>
        </w:rPr>
        <w:t>Информацию о текущей и годовой доходности компаний можно получать на сайтах управляющих компаний и сайте Центрального Банка Российской Федерации.</w:t>
      </w:r>
    </w:p>
    <w:p w:rsidR="00906DA9" w:rsidRDefault="00906DA9">
      <w:bookmarkStart w:id="0" w:name="_GoBack"/>
      <w:bookmarkEnd w:id="0"/>
    </w:p>
    <w:sectPr w:rsidR="00906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2FC"/>
    <w:rsid w:val="00605FA8"/>
    <w:rsid w:val="007B62FC"/>
    <w:rsid w:val="0090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5F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5F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05F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05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5F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5F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05F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05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ax_incentives/%7E37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2018-03-27T07:44:00Z</dcterms:created>
  <dcterms:modified xsi:type="dcterms:W3CDTF">2018-03-27T07:44:00Z</dcterms:modified>
</cp:coreProperties>
</file>