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214" w:rsidRPr="00E50214" w:rsidRDefault="00E50214" w:rsidP="00E502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5021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502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5021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 три года, которые отделяют рождение ребенка от возможности распоряжаться средствами материнского (семейного) капитала, может многое измениться в стране и в семье. Как материнский (семейный) капитал защищен от инфляции? Что с ним будет в случае смерти получателя?</w:t>
        </w:r>
      </w:hyperlink>
      <w:r w:rsidRPr="00E5021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E50214" w:rsidRPr="00E50214" w:rsidRDefault="00E50214" w:rsidP="00E502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214">
        <w:rPr>
          <w:rFonts w:ascii="Arial" w:eastAsia="Times New Roman" w:hAnsi="Arial" w:cs="Arial"/>
          <w:color w:val="000000"/>
          <w:lang w:eastAsia="ru-RU"/>
        </w:rPr>
        <w:t>Размер материнского (семейного) капитала неоднократно индексировался. За 11 лет он увеличился на 58% (с 250 000 рублей в 2007 году до 453 026 рублей в 2018 году). В случае смерти женщины - владелицы сертификата, материнский (семейный) капитал переходит к отцу детей, а в случае его смерти - к детям. При этом сумма материнского (семейного) капитала делится между детьми в равных долях.</w:t>
      </w:r>
    </w:p>
    <w:p w:rsidR="00E94D82" w:rsidRDefault="00E94D82">
      <w:bookmarkStart w:id="0" w:name="_GoBack"/>
      <w:bookmarkEnd w:id="0"/>
    </w:p>
    <w:sectPr w:rsidR="00E94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E75"/>
    <w:rsid w:val="00BA5E75"/>
    <w:rsid w:val="00E50214"/>
    <w:rsid w:val="00E9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02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02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021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50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02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02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021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50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2018-03-26T08:01:00Z</dcterms:created>
  <dcterms:modified xsi:type="dcterms:W3CDTF">2018-03-26T08:01:00Z</dcterms:modified>
</cp:coreProperties>
</file>