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94C" w:rsidRPr="00EB794C" w:rsidRDefault="00EB794C" w:rsidP="00EB794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EB794C">
        <w:rPr>
          <w:rFonts w:ascii="Times New Roman" w:eastAsia="Times New Roman" w:hAnsi="Times New Roman" w:cs="Times New Roman"/>
          <w:b/>
          <w:bCs/>
          <w:kern w:val="36"/>
          <w:sz w:val="48"/>
          <w:szCs w:val="48"/>
          <w:lang w:eastAsia="ru-RU"/>
        </w:rPr>
        <w:t>Как оформить накопительную пенсию</w:t>
      </w:r>
    </w:p>
    <w:p w:rsidR="00EB794C" w:rsidRPr="00EB794C" w:rsidRDefault="00EB794C" w:rsidP="00EB794C">
      <w:pPr>
        <w:spacing w:after="240" w:line="240" w:lineRule="auto"/>
        <w:jc w:val="center"/>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br/>
      </w:r>
      <w:bookmarkStart w:id="0" w:name="_GoBack"/>
      <w:bookmarkEnd w:id="0"/>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 xml:space="preserve">Для назначения накопительной пенсии должны совпасть два фактора: человек должен иметь право на назначение страховой пенсии и иметь средства пенсионных накоплений. Пенсионные накопления в основном формируются у людей 1967 года рождения и моложе, а также у участников Программы государственного </w:t>
      </w:r>
      <w:proofErr w:type="spellStart"/>
      <w:r w:rsidRPr="00EB794C">
        <w:rPr>
          <w:rFonts w:ascii="Times New Roman" w:eastAsia="Times New Roman" w:hAnsi="Times New Roman" w:cs="Times New Roman"/>
          <w:sz w:val="24"/>
          <w:szCs w:val="24"/>
          <w:lang w:eastAsia="ru-RU"/>
        </w:rPr>
        <w:t>софинансирования</w:t>
      </w:r>
      <w:proofErr w:type="spellEnd"/>
      <w:r w:rsidRPr="00EB794C">
        <w:rPr>
          <w:rFonts w:ascii="Times New Roman" w:eastAsia="Times New Roman" w:hAnsi="Times New Roman" w:cs="Times New Roman"/>
          <w:sz w:val="24"/>
          <w:szCs w:val="24"/>
          <w:lang w:eastAsia="ru-RU"/>
        </w:rPr>
        <w:t xml:space="preserve"> пенсий и владельцев сертификата на материнский (семейный) капитал, которые направили его средства на свою будущую пенсию.</w:t>
      </w:r>
    </w:p>
    <w:p w:rsidR="00EB794C" w:rsidRPr="00EB794C" w:rsidRDefault="00EB794C" w:rsidP="00EB794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EB794C">
          <w:rPr>
            <w:rFonts w:ascii="Times New Roman" w:eastAsia="Times New Roman" w:hAnsi="Times New Roman" w:cs="Times New Roman"/>
            <w:b/>
            <w:bCs/>
            <w:color w:val="0000FF"/>
            <w:sz w:val="27"/>
            <w:szCs w:val="27"/>
            <w:u w:val="single"/>
            <w:lang w:eastAsia="ru-RU"/>
          </w:rPr>
          <w:t xml:space="preserve">У кого формируются пенсионные накопления </w:t>
        </w:r>
      </w:hyperlink>
    </w:p>
    <w:p w:rsidR="00EB794C" w:rsidRPr="00EB794C" w:rsidRDefault="00EB794C" w:rsidP="00EB794C">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у работающих граждан 1967 года рождения и моложе за счет того, что их работодатели уплачивают страховые взносы на финансирование накопительной пенсии;</w:t>
      </w:r>
    </w:p>
    <w:p w:rsidR="00EB794C" w:rsidRPr="00EB794C" w:rsidRDefault="00EB794C" w:rsidP="00EB794C">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у мужчин 1953–1966 года рождения и женщин 1957–1966 года рождения, в пользу которых в период с 2002 по 2004 год работодатели уплачивали страховые взносы на накопительную часть трудовой пенсии. С 2005 года эти отчисления были прекращены в связи с изменениями законодательства;</w:t>
      </w:r>
    </w:p>
    <w:p w:rsidR="00EB794C" w:rsidRPr="00EB794C" w:rsidRDefault="00EB794C" w:rsidP="00EB794C">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 xml:space="preserve">у участников Программы государственного </w:t>
      </w:r>
      <w:proofErr w:type="spellStart"/>
      <w:r w:rsidRPr="00EB794C">
        <w:rPr>
          <w:rFonts w:ascii="Times New Roman" w:eastAsia="Times New Roman" w:hAnsi="Times New Roman" w:cs="Times New Roman"/>
          <w:sz w:val="24"/>
          <w:szCs w:val="24"/>
          <w:lang w:eastAsia="ru-RU"/>
        </w:rPr>
        <w:t>софинансирования</w:t>
      </w:r>
      <w:proofErr w:type="spellEnd"/>
      <w:r w:rsidRPr="00EB794C">
        <w:rPr>
          <w:rFonts w:ascii="Times New Roman" w:eastAsia="Times New Roman" w:hAnsi="Times New Roman" w:cs="Times New Roman"/>
          <w:sz w:val="24"/>
          <w:szCs w:val="24"/>
          <w:lang w:eastAsia="ru-RU"/>
        </w:rPr>
        <w:t xml:space="preserve"> пенсий;</w:t>
      </w:r>
    </w:p>
    <w:p w:rsidR="00EB794C" w:rsidRPr="00EB794C" w:rsidRDefault="00EB794C" w:rsidP="00EB794C">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у тех, кто направил средства материнского (семейного) капитала на формирование пенсионных накоплений.</w:t>
      </w:r>
    </w:p>
    <w:p w:rsidR="00EB794C" w:rsidRPr="00EB794C" w:rsidRDefault="00EB794C" w:rsidP="00EB794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7" w:history="1">
        <w:r w:rsidRPr="00EB794C">
          <w:rPr>
            <w:rFonts w:ascii="Times New Roman" w:eastAsia="Times New Roman" w:hAnsi="Times New Roman" w:cs="Times New Roman"/>
            <w:b/>
            <w:bCs/>
            <w:color w:val="0000FF"/>
            <w:sz w:val="27"/>
            <w:szCs w:val="27"/>
            <w:u w:val="single"/>
            <w:lang w:eastAsia="ru-RU"/>
          </w:rPr>
          <w:t xml:space="preserve">Куда обратиться </w:t>
        </w:r>
      </w:hyperlink>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Граждане могут обратиться за назначением пенсии в любое время после возникновения права на нее без каких-либо ограничений по времени. Заявление о назначении пенсии подается в территориальный орган Пенсионного фонда России по месту жительства, по месту пребывания либо по месту фактического проживания гражданина, либо в многофункциональный центр (далее – МФЦ). Его можно подать лично, либо через законного представителя, либо по почте, либо через работодателя. При подаче заявления по почте днем обращения за государственной пенсией по старости считается дата, которая указана на почтовом штемпеле по месту отправления заявления, через МФЦ – дата приема заявления МФЦ. Гражданин может направить заявление в форме электронного документа через «</w:t>
      </w:r>
      <w:hyperlink r:id="rId8" w:anchor="services-f" w:history="1">
        <w:r w:rsidRPr="00EB794C">
          <w:rPr>
            <w:rFonts w:ascii="Times New Roman" w:eastAsia="Times New Roman" w:hAnsi="Times New Roman" w:cs="Times New Roman"/>
            <w:color w:val="0000FF"/>
            <w:sz w:val="24"/>
            <w:szCs w:val="24"/>
            <w:u w:val="single"/>
            <w:lang w:eastAsia="ru-RU"/>
          </w:rPr>
          <w:t>Личный кабинет гражданина</w:t>
        </w:r>
      </w:hyperlink>
      <w:r w:rsidRPr="00EB794C">
        <w:rPr>
          <w:rFonts w:ascii="Times New Roman" w:eastAsia="Times New Roman" w:hAnsi="Times New Roman" w:cs="Times New Roman"/>
          <w:sz w:val="24"/>
          <w:szCs w:val="24"/>
          <w:lang w:eastAsia="ru-RU"/>
        </w:rPr>
        <w:t>» на официальном сайте ПФР.</w:t>
      </w:r>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В случае представления заявления о назначении пенсии в форме электронного документа днем обращения за пенсией считается дата подачи заявления в форме электронного документа.</w:t>
      </w:r>
    </w:p>
    <w:p w:rsidR="00EB794C" w:rsidRPr="00EB794C" w:rsidRDefault="00EB794C" w:rsidP="00EB794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EB794C">
          <w:rPr>
            <w:rFonts w:ascii="Times New Roman" w:eastAsia="Times New Roman" w:hAnsi="Times New Roman" w:cs="Times New Roman"/>
            <w:b/>
            <w:bCs/>
            <w:color w:val="0000FF"/>
            <w:sz w:val="27"/>
            <w:szCs w:val="27"/>
            <w:u w:val="single"/>
            <w:lang w:eastAsia="ru-RU"/>
          </w:rPr>
          <w:t xml:space="preserve">Какие документы представить </w:t>
        </w:r>
      </w:hyperlink>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 xml:space="preserve">При возникновении права на выплату за счет средств пенсионных накоплений гражданин может обратиться за ее назначением в любое время после возникновения этого права и назначить выплату как одновременно со страховой пенсией, так и отдельно. Достаточно представить </w:t>
      </w:r>
      <w:hyperlink r:id="rId10" w:history="1">
        <w:r w:rsidRPr="00EB794C">
          <w:rPr>
            <w:rFonts w:ascii="Times New Roman" w:eastAsia="Times New Roman" w:hAnsi="Times New Roman" w:cs="Times New Roman"/>
            <w:color w:val="0000FF"/>
            <w:sz w:val="24"/>
            <w:szCs w:val="24"/>
            <w:u w:val="single"/>
            <w:lang w:eastAsia="ru-RU"/>
          </w:rPr>
          <w:t>комплект документов, необходимых для назначения страховой пенсии</w:t>
        </w:r>
      </w:hyperlink>
      <w:r w:rsidRPr="00EB794C">
        <w:rPr>
          <w:rFonts w:ascii="Times New Roman" w:eastAsia="Times New Roman" w:hAnsi="Times New Roman" w:cs="Times New Roman"/>
          <w:sz w:val="24"/>
          <w:szCs w:val="24"/>
          <w:u w:val="single"/>
          <w:lang w:eastAsia="ru-RU"/>
        </w:rPr>
        <w:t>.</w:t>
      </w:r>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 xml:space="preserve">Если пенсионер, у которого формировались пенсионные накопления, не обращался за их установлением, то он может обратиться с заявлением об установлении соответствующей </w:t>
      </w:r>
      <w:r w:rsidRPr="00EB794C">
        <w:rPr>
          <w:rFonts w:ascii="Times New Roman" w:eastAsia="Times New Roman" w:hAnsi="Times New Roman" w:cs="Times New Roman"/>
          <w:sz w:val="24"/>
          <w:szCs w:val="24"/>
          <w:lang w:eastAsia="ru-RU"/>
        </w:rPr>
        <w:lastRenderedPageBreak/>
        <w:t>выплаты в любое удобное для него время. С собой необходимо иметь паспорт и свидетельство обязательного пенсионного страхования.</w:t>
      </w:r>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hyperlink r:id="rId11" w:history="1">
        <w:r w:rsidRPr="00EB794C">
          <w:rPr>
            <w:rFonts w:ascii="Times New Roman" w:eastAsia="Times New Roman" w:hAnsi="Times New Roman" w:cs="Times New Roman"/>
            <w:color w:val="0000FF"/>
            <w:sz w:val="24"/>
            <w:szCs w:val="24"/>
            <w:u w:val="single"/>
            <w:lang w:eastAsia="ru-RU"/>
          </w:rPr>
          <w:t>Бланк заявления на установление единовременной пенсионной выплаты</w:t>
        </w:r>
      </w:hyperlink>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hyperlink r:id="rId12" w:history="1">
        <w:r w:rsidRPr="00EB794C">
          <w:rPr>
            <w:rFonts w:ascii="Times New Roman" w:eastAsia="Times New Roman" w:hAnsi="Times New Roman" w:cs="Times New Roman"/>
            <w:color w:val="0000FF"/>
            <w:sz w:val="24"/>
            <w:szCs w:val="24"/>
            <w:u w:val="single"/>
            <w:lang w:eastAsia="ru-RU"/>
          </w:rPr>
          <w:t>Бланк заявления на установление срочной пенсионной выплаты (или образец)</w:t>
        </w:r>
      </w:hyperlink>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hyperlink r:id="rId13" w:history="1">
        <w:r w:rsidRPr="00EB794C">
          <w:rPr>
            <w:rFonts w:ascii="Times New Roman" w:eastAsia="Times New Roman" w:hAnsi="Times New Roman" w:cs="Times New Roman"/>
            <w:color w:val="0000FF"/>
            <w:sz w:val="24"/>
            <w:szCs w:val="24"/>
            <w:u w:val="single"/>
            <w:lang w:eastAsia="ru-RU"/>
          </w:rPr>
          <w:t>Бланк заявления на установление выплаты в виде накопительной пенсии</w:t>
        </w:r>
      </w:hyperlink>
    </w:p>
    <w:p w:rsidR="00EB794C" w:rsidRPr="00EB794C" w:rsidRDefault="00EB794C" w:rsidP="00EB794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 w:history="1">
        <w:r w:rsidRPr="00EB794C">
          <w:rPr>
            <w:rFonts w:ascii="Times New Roman" w:eastAsia="Times New Roman" w:hAnsi="Times New Roman" w:cs="Times New Roman"/>
            <w:b/>
            <w:bCs/>
            <w:color w:val="0000FF"/>
            <w:sz w:val="27"/>
            <w:szCs w:val="27"/>
            <w:u w:val="single"/>
            <w:lang w:eastAsia="ru-RU"/>
          </w:rPr>
          <w:t xml:space="preserve">Виды выплат средств пенсионных накоплений </w:t>
        </w:r>
      </w:hyperlink>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b/>
          <w:bCs/>
          <w:sz w:val="24"/>
          <w:szCs w:val="24"/>
          <w:lang w:eastAsia="ru-RU"/>
        </w:rPr>
        <w:t>Единовременная выплата</w:t>
      </w:r>
      <w:r w:rsidRPr="00EB794C">
        <w:rPr>
          <w:rFonts w:ascii="Times New Roman" w:eastAsia="Times New Roman" w:hAnsi="Times New Roman" w:cs="Times New Roman"/>
          <w:sz w:val="24"/>
          <w:szCs w:val="24"/>
          <w:lang w:eastAsia="ru-RU"/>
        </w:rPr>
        <w:t xml:space="preserve"> – выплачиваются сразу все пенсионные накопления одной суммой. Получатели:</w:t>
      </w:r>
    </w:p>
    <w:p w:rsidR="00EB794C" w:rsidRPr="00EB794C" w:rsidRDefault="00EB794C" w:rsidP="00EB794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граждане, у которых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назначения накопительной пенсии;</w:t>
      </w:r>
    </w:p>
    <w:p w:rsidR="00EB794C" w:rsidRPr="00EB794C" w:rsidRDefault="00EB794C" w:rsidP="00EB794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граждане, получающие страховую пенсию по инвалидности или по случаю потери кормильца либо получающие пенсию по государственному пенсионному обеспечению, которые при достижении общеустановленного пенсионного возраста не приобрели право на страховую пенсию по старости из-за отсутствия необходимого страхового стажа или необходимого количества пенсионных баллов (</w:t>
      </w:r>
      <w:hyperlink r:id="rId15" w:history="1">
        <w:r w:rsidRPr="00EB794C">
          <w:rPr>
            <w:rFonts w:ascii="Times New Roman" w:eastAsia="Times New Roman" w:hAnsi="Times New Roman" w:cs="Times New Roman"/>
            <w:color w:val="0000FF"/>
            <w:sz w:val="24"/>
            <w:szCs w:val="24"/>
            <w:u w:val="single"/>
            <w:lang w:eastAsia="ru-RU"/>
          </w:rPr>
          <w:t>с учетом переходных положений пенсионной формулы</w:t>
        </w:r>
      </w:hyperlink>
      <w:r w:rsidRPr="00EB794C">
        <w:rPr>
          <w:rFonts w:ascii="Times New Roman" w:eastAsia="Times New Roman" w:hAnsi="Times New Roman" w:cs="Times New Roman"/>
          <w:sz w:val="24"/>
          <w:szCs w:val="24"/>
          <w:lang w:eastAsia="ru-RU"/>
        </w:rPr>
        <w:t>).</w:t>
      </w:r>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b/>
          <w:bCs/>
          <w:sz w:val="24"/>
          <w:szCs w:val="24"/>
          <w:lang w:eastAsia="ru-RU"/>
        </w:rPr>
        <w:t>Срочная пенсионная выплата.</w:t>
      </w:r>
      <w:r w:rsidRPr="00EB794C">
        <w:rPr>
          <w:rFonts w:ascii="Times New Roman" w:eastAsia="Times New Roman" w:hAnsi="Times New Roman" w:cs="Times New Roman"/>
          <w:sz w:val="24"/>
          <w:szCs w:val="24"/>
          <w:lang w:eastAsia="ru-RU"/>
        </w:rPr>
        <w:t xml:space="preserve"> Ее продолжительность определяет сам гражданин, но она не может быть меньше 10 лет. </w:t>
      </w:r>
      <w:proofErr w:type="gramStart"/>
      <w:r w:rsidRPr="00EB794C">
        <w:rPr>
          <w:rFonts w:ascii="Times New Roman" w:eastAsia="Times New Roman" w:hAnsi="Times New Roman" w:cs="Times New Roman"/>
          <w:sz w:val="24"/>
          <w:szCs w:val="24"/>
          <w:lang w:eastAsia="ru-RU"/>
        </w:rPr>
        <w:t xml:space="preserve">Выплачивается при возникновении права на пенсию по старости лицам, сформировавшим пенсионные накопления за счет взносов в рамках Программы государственного </w:t>
      </w:r>
      <w:proofErr w:type="spellStart"/>
      <w:r w:rsidRPr="00EB794C">
        <w:rPr>
          <w:rFonts w:ascii="Times New Roman" w:eastAsia="Times New Roman" w:hAnsi="Times New Roman" w:cs="Times New Roman"/>
          <w:sz w:val="24"/>
          <w:szCs w:val="24"/>
          <w:lang w:eastAsia="ru-RU"/>
        </w:rPr>
        <w:t>софинансирования</w:t>
      </w:r>
      <w:proofErr w:type="spellEnd"/>
      <w:r w:rsidRPr="00EB794C">
        <w:rPr>
          <w:rFonts w:ascii="Times New Roman" w:eastAsia="Times New Roman" w:hAnsi="Times New Roman" w:cs="Times New Roman"/>
          <w:sz w:val="24"/>
          <w:szCs w:val="24"/>
          <w:lang w:eastAsia="ru-RU"/>
        </w:rPr>
        <w:t xml:space="preserve"> пенсий, в том числе взносов работодателя, взносов государства на </w:t>
      </w:r>
      <w:proofErr w:type="spellStart"/>
      <w:r w:rsidRPr="00EB794C">
        <w:rPr>
          <w:rFonts w:ascii="Times New Roman" w:eastAsia="Times New Roman" w:hAnsi="Times New Roman" w:cs="Times New Roman"/>
          <w:sz w:val="24"/>
          <w:szCs w:val="24"/>
          <w:lang w:eastAsia="ru-RU"/>
        </w:rPr>
        <w:t>софинансирование</w:t>
      </w:r>
      <w:proofErr w:type="spellEnd"/>
      <w:r w:rsidRPr="00EB794C">
        <w:rPr>
          <w:rFonts w:ascii="Times New Roman" w:eastAsia="Times New Roman" w:hAnsi="Times New Roman" w:cs="Times New Roman"/>
          <w:sz w:val="24"/>
          <w:szCs w:val="24"/>
          <w:lang w:eastAsia="ru-RU"/>
        </w:rPr>
        <w:t xml:space="preserve"> и дохода от их инвестирования, а также за счет средств материнского (семейного) капитала, направленных на формирование будущей пенсии, и дохода от их инвестирования.</w:t>
      </w:r>
      <w:proofErr w:type="gramEnd"/>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b/>
          <w:bCs/>
          <w:sz w:val="24"/>
          <w:szCs w:val="24"/>
          <w:lang w:eastAsia="ru-RU"/>
        </w:rPr>
        <w:t xml:space="preserve">Накопительная пенсия </w:t>
      </w:r>
      <w:r w:rsidRPr="00EB794C">
        <w:rPr>
          <w:rFonts w:ascii="Times New Roman" w:eastAsia="Times New Roman" w:hAnsi="Times New Roman" w:cs="Times New Roman"/>
          <w:sz w:val="24"/>
          <w:szCs w:val="24"/>
          <w:lang w:eastAsia="ru-RU"/>
        </w:rPr>
        <w:t>– осуществляется ежемесячно и пожизненно</w:t>
      </w:r>
      <w:r w:rsidRPr="00EB794C">
        <w:rPr>
          <w:rFonts w:ascii="Times New Roman" w:eastAsia="Times New Roman" w:hAnsi="Times New Roman" w:cs="Times New Roman"/>
          <w:b/>
          <w:bCs/>
          <w:sz w:val="24"/>
          <w:szCs w:val="24"/>
          <w:lang w:eastAsia="ru-RU"/>
        </w:rPr>
        <w:t>.</w:t>
      </w:r>
      <w:r w:rsidRPr="00EB794C">
        <w:rPr>
          <w:rFonts w:ascii="Times New Roman" w:eastAsia="Times New Roman" w:hAnsi="Times New Roman" w:cs="Times New Roman"/>
          <w:sz w:val="24"/>
          <w:szCs w:val="24"/>
          <w:lang w:eastAsia="ru-RU"/>
        </w:rPr>
        <w:t> Ее размер в 2017 году рассчитывается исходя из ожидаемого периода выплаты – 20 лет (240 месяцев). Чтобы рассчитать ежемесячный размер выплаты, надо общую сумму пенсионных накоплений, учтенную в специальной части индивидуального лицевого счета застрахованного лица, по состоянию на день, с которого назначается выплата, разделить на 240 месяцев.</w:t>
      </w:r>
    </w:p>
    <w:p w:rsidR="00EB794C" w:rsidRPr="00EB794C" w:rsidRDefault="00EB794C" w:rsidP="00EB794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6" w:history="1">
        <w:r w:rsidRPr="00EB794C">
          <w:rPr>
            <w:rFonts w:ascii="Times New Roman" w:eastAsia="Times New Roman" w:hAnsi="Times New Roman" w:cs="Times New Roman"/>
            <w:b/>
            <w:bCs/>
            <w:color w:val="0000FF"/>
            <w:sz w:val="27"/>
            <w:szCs w:val="27"/>
            <w:u w:val="single"/>
            <w:lang w:eastAsia="ru-RU"/>
          </w:rPr>
          <w:t xml:space="preserve">Сроки обращения и выплата </w:t>
        </w:r>
      </w:hyperlink>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B794C">
        <w:rPr>
          <w:rFonts w:ascii="Times New Roman" w:eastAsia="Times New Roman" w:hAnsi="Times New Roman" w:cs="Times New Roman"/>
          <w:sz w:val="24"/>
          <w:szCs w:val="24"/>
          <w:lang w:eastAsia="ru-RU"/>
        </w:rPr>
        <w:t>Заявление о назначении накопительной пенсии или срочной пенсионной выплаты при условии наличия всех необходимых документов рассматривается не более 10 рабочих дней со дня приема заявления со всеми необходимыми документами, а заявление о назначении единовременной выплаты – в течение месяца со дня представления последнего необходимого документа, представленного в течение трех месяцев со дня дачи соответствующих разъяснений территориальным органом ПФР.</w:t>
      </w:r>
      <w:proofErr w:type="gramEnd"/>
      <w:r w:rsidRPr="00EB794C">
        <w:rPr>
          <w:rFonts w:ascii="Times New Roman" w:eastAsia="Times New Roman" w:hAnsi="Times New Roman" w:cs="Times New Roman"/>
          <w:sz w:val="24"/>
          <w:szCs w:val="24"/>
          <w:lang w:eastAsia="ru-RU"/>
        </w:rPr>
        <w:t xml:space="preserve"> По результатам рассмотрения выносится решение о назначении соответствующей выплаты или об отказе в ее назначении с обоснованием причин.</w:t>
      </w:r>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lastRenderedPageBreak/>
        <w:t>Единовременная выплата средств пенсионных накоплений производится в срок, не превышающий два месяца со дня принятия решения.</w:t>
      </w:r>
    </w:p>
    <w:p w:rsidR="00EB794C" w:rsidRPr="00EB794C" w:rsidRDefault="00EB794C" w:rsidP="00EB794C">
      <w:pPr>
        <w:spacing w:before="100" w:beforeAutospacing="1" w:after="100" w:afterAutospacing="1" w:line="240" w:lineRule="auto"/>
        <w:rPr>
          <w:rFonts w:ascii="Times New Roman" w:eastAsia="Times New Roman" w:hAnsi="Times New Roman" w:cs="Times New Roman"/>
          <w:sz w:val="24"/>
          <w:szCs w:val="24"/>
          <w:lang w:eastAsia="ru-RU"/>
        </w:rPr>
      </w:pPr>
      <w:r w:rsidRPr="00EB794C">
        <w:rPr>
          <w:rFonts w:ascii="Times New Roman" w:eastAsia="Times New Roman" w:hAnsi="Times New Roman" w:cs="Times New Roman"/>
          <w:sz w:val="24"/>
          <w:szCs w:val="24"/>
          <w:lang w:eastAsia="ru-RU"/>
        </w:rPr>
        <w:t>Выплата накопительной пенсии и срочной пенсионной выплаты производится за текущий месяц одновременно со страховой пенсией и в порядке, предусмотренном для указанной пенсии. Если у гражданина пенсионные накопления формируются в негосударственном пенсионном фонде, то за их назначением необходимо обращаться туда.</w:t>
      </w:r>
    </w:p>
    <w:p w:rsidR="00CD6BB8" w:rsidRDefault="00CD6BB8"/>
    <w:sectPr w:rsidR="00CD6B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132"/>
    <w:multiLevelType w:val="multilevel"/>
    <w:tmpl w:val="A118A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2C3AD0"/>
    <w:multiLevelType w:val="multilevel"/>
    <w:tmpl w:val="0DE4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A71"/>
    <w:rsid w:val="00722A71"/>
    <w:rsid w:val="00CD6BB8"/>
    <w:rsid w:val="00EB79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B79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B794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794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B794C"/>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EB794C"/>
    <w:rPr>
      <w:color w:val="0000FF"/>
      <w:u w:val="single"/>
    </w:rPr>
  </w:style>
  <w:style w:type="paragraph" w:styleId="a4">
    <w:name w:val="Normal (Web)"/>
    <w:basedOn w:val="a"/>
    <w:uiPriority w:val="99"/>
    <w:semiHidden/>
    <w:unhideWhenUsed/>
    <w:rsid w:val="00EB79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B794C"/>
    <w:rPr>
      <w:b/>
      <w:bCs/>
    </w:rPr>
  </w:style>
  <w:style w:type="paragraph" w:styleId="a6">
    <w:name w:val="Balloon Text"/>
    <w:basedOn w:val="a"/>
    <w:link w:val="a7"/>
    <w:uiPriority w:val="99"/>
    <w:semiHidden/>
    <w:unhideWhenUsed/>
    <w:rsid w:val="00EB794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B79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B79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B794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794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B794C"/>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EB794C"/>
    <w:rPr>
      <w:color w:val="0000FF"/>
      <w:u w:val="single"/>
    </w:rPr>
  </w:style>
  <w:style w:type="paragraph" w:styleId="a4">
    <w:name w:val="Normal (Web)"/>
    <w:basedOn w:val="a"/>
    <w:uiPriority w:val="99"/>
    <w:semiHidden/>
    <w:unhideWhenUsed/>
    <w:rsid w:val="00EB79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B794C"/>
    <w:rPr>
      <w:b/>
      <w:bCs/>
    </w:rPr>
  </w:style>
  <w:style w:type="paragraph" w:styleId="a6">
    <w:name w:val="Balloon Text"/>
    <w:basedOn w:val="a"/>
    <w:link w:val="a7"/>
    <w:uiPriority w:val="99"/>
    <w:semiHidden/>
    <w:unhideWhenUsed/>
    <w:rsid w:val="00EB794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B79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615897">
      <w:bodyDiv w:val="1"/>
      <w:marLeft w:val="0"/>
      <w:marRight w:val="0"/>
      <w:marTop w:val="0"/>
      <w:marBottom w:val="0"/>
      <w:divBdr>
        <w:top w:val="none" w:sz="0" w:space="0" w:color="auto"/>
        <w:left w:val="none" w:sz="0" w:space="0" w:color="auto"/>
        <w:bottom w:val="none" w:sz="0" w:space="0" w:color="auto"/>
        <w:right w:val="none" w:sz="0" w:space="0" w:color="auto"/>
      </w:divBdr>
      <w:divsChild>
        <w:div w:id="107624058">
          <w:marLeft w:val="0"/>
          <w:marRight w:val="0"/>
          <w:marTop w:val="0"/>
          <w:marBottom w:val="0"/>
          <w:divBdr>
            <w:top w:val="none" w:sz="0" w:space="0" w:color="auto"/>
            <w:left w:val="none" w:sz="0" w:space="0" w:color="auto"/>
            <w:bottom w:val="none" w:sz="0" w:space="0" w:color="auto"/>
            <w:right w:val="none" w:sz="0" w:space="0" w:color="auto"/>
          </w:divBdr>
          <w:divsChild>
            <w:div w:id="1037043349">
              <w:marLeft w:val="0"/>
              <w:marRight w:val="0"/>
              <w:marTop w:val="0"/>
              <w:marBottom w:val="0"/>
              <w:divBdr>
                <w:top w:val="none" w:sz="0" w:space="0" w:color="auto"/>
                <w:left w:val="none" w:sz="0" w:space="0" w:color="auto"/>
                <w:bottom w:val="none" w:sz="0" w:space="0" w:color="auto"/>
                <w:right w:val="none" w:sz="0" w:space="0" w:color="auto"/>
              </w:divBdr>
            </w:div>
          </w:divsChild>
        </w:div>
        <w:div w:id="754787239">
          <w:marLeft w:val="0"/>
          <w:marRight w:val="0"/>
          <w:marTop w:val="0"/>
          <w:marBottom w:val="0"/>
          <w:divBdr>
            <w:top w:val="none" w:sz="0" w:space="0" w:color="auto"/>
            <w:left w:val="none" w:sz="0" w:space="0" w:color="auto"/>
            <w:bottom w:val="none" w:sz="0" w:space="0" w:color="auto"/>
            <w:right w:val="none" w:sz="0" w:space="0" w:color="auto"/>
          </w:divBdr>
          <w:divsChild>
            <w:div w:id="479347855">
              <w:marLeft w:val="0"/>
              <w:marRight w:val="0"/>
              <w:marTop w:val="0"/>
              <w:marBottom w:val="0"/>
              <w:divBdr>
                <w:top w:val="none" w:sz="0" w:space="0" w:color="auto"/>
                <w:left w:val="none" w:sz="0" w:space="0" w:color="auto"/>
                <w:bottom w:val="none" w:sz="0" w:space="0" w:color="auto"/>
                <w:right w:val="none" w:sz="0" w:space="0" w:color="auto"/>
              </w:divBdr>
              <w:divsChild>
                <w:div w:id="2056662273">
                  <w:marLeft w:val="0"/>
                  <w:marRight w:val="0"/>
                  <w:marTop w:val="0"/>
                  <w:marBottom w:val="0"/>
                  <w:divBdr>
                    <w:top w:val="none" w:sz="0" w:space="0" w:color="auto"/>
                    <w:left w:val="none" w:sz="0" w:space="0" w:color="auto"/>
                    <w:bottom w:val="none" w:sz="0" w:space="0" w:color="auto"/>
                    <w:right w:val="none" w:sz="0" w:space="0" w:color="auto"/>
                  </w:divBdr>
                  <w:divsChild>
                    <w:div w:id="246505933">
                      <w:marLeft w:val="75"/>
                      <w:marRight w:val="75"/>
                      <w:marTop w:val="75"/>
                      <w:marBottom w:val="75"/>
                      <w:divBdr>
                        <w:top w:val="none" w:sz="0" w:space="0" w:color="auto"/>
                        <w:left w:val="none" w:sz="0" w:space="0" w:color="auto"/>
                        <w:bottom w:val="none" w:sz="0" w:space="0" w:color="auto"/>
                        <w:right w:val="none" w:sz="0" w:space="0" w:color="auto"/>
                      </w:divBdr>
                    </w:div>
                    <w:div w:id="1917282852">
                      <w:marLeft w:val="0"/>
                      <w:marRight w:val="0"/>
                      <w:marTop w:val="0"/>
                      <w:marBottom w:val="0"/>
                      <w:divBdr>
                        <w:top w:val="none" w:sz="0" w:space="0" w:color="auto"/>
                        <w:left w:val="none" w:sz="0" w:space="0" w:color="auto"/>
                        <w:bottom w:val="none" w:sz="0" w:space="0" w:color="auto"/>
                        <w:right w:val="none" w:sz="0" w:space="0" w:color="auto"/>
                      </w:divBdr>
                    </w:div>
                    <w:div w:id="285353541">
                      <w:marLeft w:val="0"/>
                      <w:marRight w:val="0"/>
                      <w:marTop w:val="0"/>
                      <w:marBottom w:val="0"/>
                      <w:divBdr>
                        <w:top w:val="none" w:sz="0" w:space="0" w:color="auto"/>
                        <w:left w:val="none" w:sz="0" w:space="0" w:color="auto"/>
                        <w:bottom w:val="none" w:sz="0" w:space="0" w:color="auto"/>
                        <w:right w:val="none" w:sz="0" w:space="0" w:color="auto"/>
                      </w:divBdr>
                    </w:div>
                    <w:div w:id="1242763456">
                      <w:marLeft w:val="0"/>
                      <w:marRight w:val="0"/>
                      <w:marTop w:val="0"/>
                      <w:marBottom w:val="0"/>
                      <w:divBdr>
                        <w:top w:val="none" w:sz="0" w:space="0" w:color="auto"/>
                        <w:left w:val="none" w:sz="0" w:space="0" w:color="auto"/>
                        <w:bottom w:val="none" w:sz="0" w:space="0" w:color="auto"/>
                        <w:right w:val="none" w:sz="0" w:space="0" w:color="auto"/>
                      </w:divBdr>
                    </w:div>
                    <w:div w:id="1292053555">
                      <w:marLeft w:val="0"/>
                      <w:marRight w:val="0"/>
                      <w:marTop w:val="0"/>
                      <w:marBottom w:val="0"/>
                      <w:divBdr>
                        <w:top w:val="none" w:sz="0" w:space="0" w:color="auto"/>
                        <w:left w:val="none" w:sz="0" w:space="0" w:color="auto"/>
                        <w:bottom w:val="none" w:sz="0" w:space="0" w:color="auto"/>
                        <w:right w:val="none" w:sz="0" w:space="0" w:color="auto"/>
                      </w:divBdr>
                    </w:div>
                    <w:div w:id="699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pfrf.ru/" TargetMode="External"/><Relationship Id="rId13" Type="http://schemas.openxmlformats.org/officeDocument/2006/relationships/hyperlink" Target="http://www.pfrf.ru/files/id/zhiznsit/pens/2017/zayav_nakop_pens.doc"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pfrf.ru/knopki/zhizn/%7E440" TargetMode="External"/><Relationship Id="rId12" Type="http://schemas.openxmlformats.org/officeDocument/2006/relationships/hyperlink" Target="http://www.pfrf.ru/files/id/zhiznsit/pens/Zayavlenie_na_srochnuyu_vyiplatu.do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frf.ru/knopki/zhizn/%7E440" TargetMode="External"/><Relationship Id="rId1" Type="http://schemas.openxmlformats.org/officeDocument/2006/relationships/numbering" Target="numbering.xml"/><Relationship Id="rId6" Type="http://schemas.openxmlformats.org/officeDocument/2006/relationships/hyperlink" Target="http://www.pfrf.ru/knopki/zhizn/%7E440" TargetMode="External"/><Relationship Id="rId11" Type="http://schemas.openxmlformats.org/officeDocument/2006/relationships/hyperlink" Target="http://www.pfrf.ru/files/id/zhiznsit/pens/2017/Zayavlenie_o_edinovremennoy_vyiplate.doc" TargetMode="External"/><Relationship Id="rId5" Type="http://schemas.openxmlformats.org/officeDocument/2006/relationships/webSettings" Target="webSettings.xml"/><Relationship Id="rId15" Type="http://schemas.openxmlformats.org/officeDocument/2006/relationships/hyperlink" Target="http://www.pfrf.ru/grazdanam/pensions/kak_form_bud_pens/" TargetMode="External"/><Relationship Id="rId10" Type="http://schemas.openxmlformats.org/officeDocument/2006/relationships/hyperlink" Target="http://www.pfrf.ru/files/id/zhiznsit/pens/Dokumentyi_dlya_naznacheniya_SP_po_starosti.doc" TargetMode="External"/><Relationship Id="rId4" Type="http://schemas.openxmlformats.org/officeDocument/2006/relationships/settings" Target="settings.xml"/><Relationship Id="rId9" Type="http://schemas.openxmlformats.org/officeDocument/2006/relationships/hyperlink" Target="http://www.pfrf.ru/knopki/zhizn/%7E440" TargetMode="External"/><Relationship Id="rId14" Type="http://schemas.openxmlformats.org/officeDocument/2006/relationships/hyperlink" Target="http://www.pfrf.ru/knopki/zhizn/%7E4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980</Words>
  <Characters>5586</Characters>
  <Application>Microsoft Office Word</Application>
  <DocSecurity>0</DocSecurity>
  <Lines>46</Lines>
  <Paragraphs>13</Paragraphs>
  <ScaleCrop>false</ScaleCrop>
  <Company/>
  <LinksUpToDate>false</LinksUpToDate>
  <CharactersWithSpaces>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2017-11-28T07:00:00Z</dcterms:created>
  <dcterms:modified xsi:type="dcterms:W3CDTF">2017-11-28T07:09:00Z</dcterms:modified>
</cp:coreProperties>
</file>