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257" w:rsidRPr="00625257" w:rsidRDefault="00625257" w:rsidP="00625257">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625257">
        <w:rPr>
          <w:rFonts w:ascii="Times New Roman" w:eastAsia="Times New Roman" w:hAnsi="Times New Roman" w:cs="Times New Roman"/>
          <w:b/>
          <w:bCs/>
          <w:kern w:val="36"/>
          <w:sz w:val="48"/>
          <w:szCs w:val="48"/>
          <w:lang w:eastAsia="ru-RU"/>
        </w:rPr>
        <w:t>Как оформить страховую пенсию по случаю потери кормильца</w:t>
      </w:r>
    </w:p>
    <w:p w:rsidR="00625257" w:rsidRPr="00625257" w:rsidRDefault="00625257" w:rsidP="00625257">
      <w:pPr>
        <w:spacing w:after="75"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drawing>
          <wp:inline distT="0" distB="0" distL="0" distR="0">
            <wp:extent cx="1476375" cy="2028825"/>
            <wp:effectExtent l="0" t="0" r="9525" b="9525"/>
            <wp:docPr id="1" name="Рисунок 1" descr="http://www.pfrf.ru/files/id/press_center/pr/booklet/2017/kormilec_280.jpg">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press_center/pr/booklet/2017/kormilec_280.jpg">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6375" cy="2028825"/>
                    </a:xfrm>
                    <a:prstGeom prst="rect">
                      <a:avLst/>
                    </a:prstGeom>
                    <a:noFill/>
                    <a:ln>
                      <a:noFill/>
                    </a:ln>
                  </pic:spPr>
                </pic:pic>
              </a:graphicData>
            </a:graphic>
          </wp:inline>
        </w:drawing>
      </w:r>
      <w:r w:rsidRPr="00625257">
        <w:rPr>
          <w:rFonts w:ascii="Times New Roman" w:eastAsia="Times New Roman" w:hAnsi="Times New Roman" w:cs="Times New Roman"/>
          <w:sz w:val="24"/>
          <w:szCs w:val="24"/>
          <w:lang w:eastAsia="ru-RU"/>
        </w:rPr>
        <w:br/>
      </w:r>
      <w:hyperlink r:id="rId8" w:tgtFrame="_blank" w:history="1">
        <w:r w:rsidRPr="00625257">
          <w:rPr>
            <w:rFonts w:ascii="Times New Roman" w:eastAsia="Times New Roman" w:hAnsi="Times New Roman" w:cs="Times New Roman"/>
            <w:color w:val="0000FF"/>
            <w:sz w:val="24"/>
            <w:szCs w:val="24"/>
            <w:u w:val="single"/>
            <w:lang w:eastAsia="ru-RU"/>
          </w:rPr>
          <w:t>скачать брошюру</w:t>
        </w:r>
      </w:hyperlink>
      <w:r w:rsidRPr="00625257">
        <w:rPr>
          <w:rFonts w:ascii="Times New Roman" w:eastAsia="Times New Roman" w:hAnsi="Times New Roman" w:cs="Times New Roman"/>
          <w:sz w:val="24"/>
          <w:szCs w:val="24"/>
          <w:lang w:eastAsia="ru-RU"/>
        </w:rPr>
        <w:t> (382 Кб)</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Страховая пенсия по случаю потери кормильца назначается нетрудоспособным членам семьи умершего кормильца, состоявшим на его иждивении. Исключение – лица, совершившие умышленное уголовно наказуемое деяние, повлекшее за собой смерть кормильца и установленное в судебном порядке.</w:t>
      </w:r>
    </w:p>
    <w:p w:rsidR="00625257" w:rsidRPr="00625257" w:rsidRDefault="00625257" w:rsidP="0062525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 w:history="1">
        <w:r w:rsidRPr="00625257">
          <w:rPr>
            <w:rFonts w:ascii="Times New Roman" w:eastAsia="Times New Roman" w:hAnsi="Times New Roman" w:cs="Times New Roman"/>
            <w:b/>
            <w:bCs/>
            <w:color w:val="0000FF"/>
            <w:sz w:val="27"/>
            <w:szCs w:val="27"/>
            <w:u w:val="single"/>
            <w:lang w:eastAsia="ru-RU"/>
          </w:rPr>
          <w:t xml:space="preserve">Кто имеет право на назначение страховой пенсии по случаю потери кормильца </w:t>
        </w:r>
      </w:hyperlink>
    </w:p>
    <w:p w:rsidR="00625257" w:rsidRPr="00625257" w:rsidRDefault="00625257" w:rsidP="0062525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нетрудоспособные члены семьи умершего кормильца, которые состояли на его иждивении, независимо от продолжительности страхового стажа кормильца, а также от причины и времени наступления его смерти. Члены семьи умершего кормильца признаются состоявшими на его иждивении, если они находились на его полном содержании или получали от него помощь, которая была для них постоянным и основным источником сре</w:t>
      </w:r>
      <w:proofErr w:type="gramStart"/>
      <w:r w:rsidRPr="00625257">
        <w:rPr>
          <w:rFonts w:ascii="Times New Roman" w:eastAsia="Times New Roman" w:hAnsi="Times New Roman" w:cs="Times New Roman"/>
          <w:sz w:val="24"/>
          <w:szCs w:val="24"/>
          <w:lang w:eastAsia="ru-RU"/>
        </w:rPr>
        <w:t>дств к с</w:t>
      </w:r>
      <w:proofErr w:type="gramEnd"/>
      <w:r w:rsidRPr="00625257">
        <w:rPr>
          <w:rFonts w:ascii="Times New Roman" w:eastAsia="Times New Roman" w:hAnsi="Times New Roman" w:cs="Times New Roman"/>
          <w:sz w:val="24"/>
          <w:szCs w:val="24"/>
          <w:lang w:eastAsia="ru-RU"/>
        </w:rPr>
        <w:t>уществованию;</w:t>
      </w:r>
    </w:p>
    <w:p w:rsidR="00625257" w:rsidRPr="00625257" w:rsidRDefault="00625257" w:rsidP="0062525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дети, братья, сестры и внуки умершего кормильца, не достигшие возраста 18 лет;</w:t>
      </w:r>
    </w:p>
    <w:p w:rsidR="00625257" w:rsidRPr="00625257" w:rsidRDefault="00625257" w:rsidP="0062525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625257">
        <w:rPr>
          <w:rFonts w:ascii="Times New Roman" w:eastAsia="Times New Roman" w:hAnsi="Times New Roman" w:cs="Times New Roman"/>
          <w:sz w:val="24"/>
          <w:szCs w:val="24"/>
          <w:lang w:eastAsia="ru-RU"/>
        </w:rPr>
        <w:t>дети, братья, сестры и внуки умершего кормильца, обучающиеся по основным образовательным программам в организациях, осуществляющих образовательную деятельность, в том числе в иностранных организациях, расположенных за пределами территории Российской Федерации (по направлению в соответствии с международным договором), до окончания ими такого обучения, но не дольше чем до достижения ими возраста 23 лет;</w:t>
      </w:r>
      <w:proofErr w:type="gramEnd"/>
    </w:p>
    <w:p w:rsidR="00625257" w:rsidRPr="00625257" w:rsidRDefault="00625257" w:rsidP="0062525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дети, братья, сестры и внуки умершего кормильца старше этого возраста, если они до достижения возраста 18 лет стали инвалидами</w:t>
      </w:r>
      <w:proofErr w:type="gramStart"/>
      <w:r w:rsidRPr="00625257">
        <w:rPr>
          <w:rFonts w:ascii="Times New Roman" w:eastAsia="Times New Roman" w:hAnsi="Times New Roman" w:cs="Times New Roman"/>
          <w:sz w:val="24"/>
          <w:szCs w:val="24"/>
          <w:lang w:eastAsia="ru-RU"/>
        </w:rPr>
        <w:t xml:space="preserve"> .</w:t>
      </w:r>
      <w:proofErr w:type="gramEnd"/>
      <w:r w:rsidRPr="00625257">
        <w:rPr>
          <w:rFonts w:ascii="Times New Roman" w:eastAsia="Times New Roman" w:hAnsi="Times New Roman" w:cs="Times New Roman"/>
          <w:sz w:val="24"/>
          <w:szCs w:val="24"/>
          <w:lang w:eastAsia="ru-RU"/>
        </w:rPr>
        <w:t xml:space="preserve"> При этом братья, сестры и внуки умершего кормильца признаются нетрудоспособными членами семьи при условии, что они не имеют трудоспособных родителей;</w:t>
      </w:r>
    </w:p>
    <w:p w:rsidR="00625257" w:rsidRPr="00625257" w:rsidRDefault="00625257" w:rsidP="0062525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родители и супруг умершего кормильца, если они достигли возраста 60 и 55 лет (соответственно мужчины и женщины) либо являются инвалидами;</w:t>
      </w:r>
    </w:p>
    <w:p w:rsidR="00625257" w:rsidRPr="00625257" w:rsidRDefault="00625257" w:rsidP="0062525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дедушка и бабушка умершего кормильца, если они достигли возраста 60 и 55 лет (соответственно мужчины и женщины) либо являются инвалидами, при отсутствии лиц, которые обязаны их содержать;</w:t>
      </w:r>
    </w:p>
    <w:p w:rsidR="00625257" w:rsidRPr="00625257" w:rsidRDefault="00625257" w:rsidP="0062525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нетрудоспособные родители и супруг, не состоявшие на иждивен</w:t>
      </w:r>
      <w:proofErr w:type="gramStart"/>
      <w:r w:rsidRPr="00625257">
        <w:rPr>
          <w:rFonts w:ascii="Times New Roman" w:eastAsia="Times New Roman" w:hAnsi="Times New Roman" w:cs="Times New Roman"/>
          <w:sz w:val="24"/>
          <w:szCs w:val="24"/>
          <w:lang w:eastAsia="ru-RU"/>
        </w:rPr>
        <w:t>ии у у</w:t>
      </w:r>
      <w:proofErr w:type="gramEnd"/>
      <w:r w:rsidRPr="00625257">
        <w:rPr>
          <w:rFonts w:ascii="Times New Roman" w:eastAsia="Times New Roman" w:hAnsi="Times New Roman" w:cs="Times New Roman"/>
          <w:sz w:val="24"/>
          <w:szCs w:val="24"/>
          <w:lang w:eastAsia="ru-RU"/>
        </w:rPr>
        <w:t>мершего кормильца, независимо от времени, прошедшего после его смерти, если они утратят источник средств к существованию;</w:t>
      </w:r>
    </w:p>
    <w:p w:rsidR="00625257" w:rsidRPr="00625257" w:rsidRDefault="00625257" w:rsidP="00625257">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lastRenderedPageBreak/>
        <w:t>один из родителей, супруг, дедушка, бабушка умершего кормильца, а также брат, сестра или ребенок умершего кормильца, достигшие 18 лет, если они не работают и при этом заняты уходом за детьми, братьями, сестрами или внуками умершего кормильца, не достигшими 14 лет и имеющими право на страховую пенсию по случаю потери кормильца. В этом случае право на данный вид страховой пенсии возникает независимо от факта нахождения на иждивении у кормильца.</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Усыновители имеют право на страховую пенсию по случаю потери кормильца наравне с родителями, а усыновленные дети – наравне с родными детьми.</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Отчим и мачеха имеют право на страховую пенсию по случаю потери кормильца наравне с родителями, а пасынок и падчерица – наравне с родными детьми при соблюдении определенных условий.</w:t>
      </w:r>
    </w:p>
    <w:p w:rsidR="00625257" w:rsidRPr="00625257" w:rsidRDefault="00625257" w:rsidP="0062525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0" w:history="1">
        <w:r w:rsidRPr="00625257">
          <w:rPr>
            <w:rFonts w:ascii="Times New Roman" w:eastAsia="Times New Roman" w:hAnsi="Times New Roman" w:cs="Times New Roman"/>
            <w:b/>
            <w:bCs/>
            <w:color w:val="0000FF"/>
            <w:sz w:val="27"/>
            <w:szCs w:val="27"/>
            <w:u w:val="single"/>
            <w:lang w:eastAsia="ru-RU"/>
          </w:rPr>
          <w:t xml:space="preserve">Куда обратиться </w:t>
        </w:r>
      </w:hyperlink>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Граждане могут обратиться за назначением пенсии в любое время после возникновения права на нее без каких-либо ограничений по времени. Заявление о назначении пенсии подается в территориальный орган Пенсионного фонда России по месту жительства, по месту пребывания либо по месту фактического проживания гражданина, либо в многофункциональный центр (МФЦ). Его можно подать лично, либо через законного представителя, либо по почте, либо через работодателя. При подаче заявления по почте днем обращения за государственной пенсией по старости считается дата, которая указана на почтовом штемпеле по месту отправления заявления, через МФЦ – дата приема заявления МФЦ. Гражданин может направить заявление в форме электронного документа через «</w:t>
      </w:r>
      <w:hyperlink r:id="rId11" w:anchor="services-f" w:history="1">
        <w:r w:rsidRPr="00625257">
          <w:rPr>
            <w:rFonts w:ascii="Times New Roman" w:eastAsia="Times New Roman" w:hAnsi="Times New Roman" w:cs="Times New Roman"/>
            <w:color w:val="0000FF"/>
            <w:sz w:val="24"/>
            <w:szCs w:val="24"/>
            <w:u w:val="single"/>
            <w:lang w:eastAsia="ru-RU"/>
          </w:rPr>
          <w:t>Личный кабинет гражданина</w:t>
        </w:r>
      </w:hyperlink>
      <w:r w:rsidRPr="00625257">
        <w:rPr>
          <w:rFonts w:ascii="Times New Roman" w:eastAsia="Times New Roman" w:hAnsi="Times New Roman" w:cs="Times New Roman"/>
          <w:sz w:val="24"/>
          <w:szCs w:val="24"/>
          <w:lang w:eastAsia="ru-RU"/>
        </w:rPr>
        <w:t>» на официальном сайте ПФР. В случае представления заявления о назначении пенсии в форме электронного документа днем обращения за пенсией считается дата подачи заявления в форме электронного документа.</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Россияне, выехавшие на постоянное место жительства за пределы России и не имеющие подтвержденного регистрацией места жительства и места пребывания в России, подают заявление непосредственно в Пенсионный фонд России (Москва, ул. Шаболовка, д. 4).</w:t>
      </w:r>
    </w:p>
    <w:p w:rsidR="00625257" w:rsidRPr="00625257" w:rsidRDefault="00625257" w:rsidP="0062525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2" w:history="1">
        <w:r w:rsidRPr="00625257">
          <w:rPr>
            <w:rFonts w:ascii="Times New Roman" w:eastAsia="Times New Roman" w:hAnsi="Times New Roman" w:cs="Times New Roman"/>
            <w:b/>
            <w:bCs/>
            <w:color w:val="0000FF"/>
            <w:sz w:val="27"/>
            <w:szCs w:val="27"/>
            <w:u w:val="single"/>
            <w:lang w:eastAsia="ru-RU"/>
          </w:rPr>
          <w:t xml:space="preserve">Какие документы представить </w:t>
        </w:r>
      </w:hyperlink>
    </w:p>
    <w:p w:rsidR="00625257" w:rsidRPr="00625257" w:rsidRDefault="00625257" w:rsidP="00625257">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заявление о назначении страховой пенсии по случаю потери кормильца;</w:t>
      </w:r>
    </w:p>
    <w:p w:rsidR="00625257" w:rsidRPr="00625257" w:rsidRDefault="00625257" w:rsidP="00625257">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паспорт (для граждан РФ) или вид на жительство (для иностранных граждан и лиц без гражданства);</w:t>
      </w:r>
    </w:p>
    <w:p w:rsidR="00625257" w:rsidRPr="00625257" w:rsidRDefault="00625257" w:rsidP="00625257">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свидетельство обязательного пенсионного страхования (СНИЛС);</w:t>
      </w:r>
    </w:p>
    <w:p w:rsidR="00625257" w:rsidRPr="00625257" w:rsidRDefault="00625257" w:rsidP="00625257">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документы о смерти кормильца (свидетельство о смерти);</w:t>
      </w:r>
    </w:p>
    <w:p w:rsidR="00625257" w:rsidRPr="00625257" w:rsidRDefault="00625257" w:rsidP="00625257">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документы, подтверждающие родственные отношения с умершим кормильцем;</w:t>
      </w:r>
    </w:p>
    <w:p w:rsidR="00625257" w:rsidRPr="00625257" w:rsidRDefault="00625257" w:rsidP="00625257">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625257">
        <w:rPr>
          <w:rFonts w:ascii="Times New Roman" w:eastAsia="Times New Roman" w:hAnsi="Times New Roman" w:cs="Times New Roman"/>
          <w:sz w:val="24"/>
          <w:szCs w:val="24"/>
          <w:lang w:eastAsia="ru-RU"/>
        </w:rPr>
        <w:t>документы, подтверждающие продолжительность страхового стажа; Документы, подтверждающие периоды работы и другие периоды, должны содержать номер и дату выдачи, фамилию, имя, отчество гражданина, которому выдается документ, число, месяц и год его рождения, место работы, период работы, профессию (должность), основания их выдачи (приказы, лицевые счета и др.).</w:t>
      </w:r>
      <w:proofErr w:type="gramEnd"/>
      <w:r w:rsidRPr="00625257">
        <w:rPr>
          <w:rFonts w:ascii="Times New Roman" w:eastAsia="Times New Roman" w:hAnsi="Times New Roman" w:cs="Times New Roman"/>
          <w:sz w:val="24"/>
          <w:szCs w:val="24"/>
          <w:lang w:eastAsia="ru-RU"/>
        </w:rPr>
        <w:t xml:space="preserve"> Документы, которые выдает работодатель при увольнении с работы, могут быть приняты в подтверждение страхового стажа и в том случае, если не содержат основания для их выдачи;</w:t>
      </w:r>
    </w:p>
    <w:p w:rsidR="00625257" w:rsidRPr="00625257" w:rsidRDefault="00625257" w:rsidP="00625257">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другие документы, необходимые для подтверждения дополнительных обстоятельств.</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lastRenderedPageBreak/>
        <w:t>Если к заявлению приложены не все необходимые документы, то вам будут даны разъяснения, какие документы следует представить дополнительно. Если после этого вы представите недостающие документы не позднее чем через три месяца, днем обращения за пенсией будет считаться день приема заявления.</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 xml:space="preserve">Документы, обязанность по представлению которых возложена на заявителя, перечислены в </w:t>
      </w:r>
      <w:hyperlink r:id="rId13" w:history="1">
        <w:r w:rsidRPr="00625257">
          <w:rPr>
            <w:rFonts w:ascii="Times New Roman" w:eastAsia="Times New Roman" w:hAnsi="Times New Roman" w:cs="Times New Roman"/>
            <w:color w:val="0000FF"/>
            <w:sz w:val="24"/>
            <w:szCs w:val="24"/>
            <w:u w:val="single"/>
            <w:lang w:eastAsia="ru-RU"/>
          </w:rPr>
          <w:t>Административном регламенте предоставления Пенсионным фондом Российской Федерации государственной услуги по установлению страховых пенсий, накопительной пенсии и пенсий по государственному пенсионному обеспечению, утвержденный приказом Министерства труда и социальной защиты Российской Федерации</w:t>
        </w:r>
      </w:hyperlink>
      <w:r w:rsidRPr="00625257">
        <w:rPr>
          <w:rFonts w:ascii="Times New Roman" w:eastAsia="Times New Roman" w:hAnsi="Times New Roman" w:cs="Times New Roman"/>
          <w:sz w:val="24"/>
          <w:szCs w:val="24"/>
          <w:lang w:eastAsia="ru-RU"/>
        </w:rPr>
        <w:t xml:space="preserve"> от 19 января 2016 г. № 14н.</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hyperlink r:id="rId14" w:history="1">
        <w:r w:rsidRPr="00625257">
          <w:rPr>
            <w:rFonts w:ascii="Times New Roman" w:eastAsia="Times New Roman" w:hAnsi="Times New Roman" w:cs="Times New Roman"/>
            <w:color w:val="0000FF"/>
            <w:sz w:val="24"/>
            <w:szCs w:val="24"/>
            <w:u w:val="single"/>
            <w:lang w:eastAsia="ru-RU"/>
          </w:rPr>
          <w:t>Подробный перечень документов для назначения страховой пенсии по случаю потери кормильца</w:t>
        </w:r>
      </w:hyperlink>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hyperlink r:id="rId15" w:history="1">
        <w:r w:rsidRPr="00625257">
          <w:rPr>
            <w:rFonts w:ascii="Times New Roman" w:eastAsia="Times New Roman" w:hAnsi="Times New Roman" w:cs="Times New Roman"/>
            <w:color w:val="0000FF"/>
            <w:sz w:val="24"/>
            <w:szCs w:val="24"/>
            <w:u w:val="single"/>
            <w:lang w:eastAsia="ru-RU"/>
          </w:rPr>
          <w:t>Бланк заявления на назначение страховой пенсии по случаю потери кормильца</w:t>
        </w:r>
      </w:hyperlink>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hyperlink r:id="rId16" w:history="1">
        <w:r w:rsidRPr="00625257">
          <w:rPr>
            <w:rFonts w:ascii="Times New Roman" w:eastAsia="Times New Roman" w:hAnsi="Times New Roman" w:cs="Times New Roman"/>
            <w:color w:val="0000FF"/>
            <w:sz w:val="24"/>
            <w:szCs w:val="24"/>
            <w:u w:val="single"/>
            <w:lang w:eastAsia="ru-RU"/>
          </w:rPr>
          <w:t>Правила заполнения заявления о назначении страховой пенсии по случаю потери кормильца</w:t>
        </w:r>
      </w:hyperlink>
    </w:p>
    <w:p w:rsidR="00625257" w:rsidRPr="00625257" w:rsidRDefault="00625257" w:rsidP="0062525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7" w:history="1">
        <w:r w:rsidRPr="00625257">
          <w:rPr>
            <w:rFonts w:ascii="Times New Roman" w:eastAsia="Times New Roman" w:hAnsi="Times New Roman" w:cs="Times New Roman"/>
            <w:b/>
            <w:bCs/>
            <w:color w:val="0000FF"/>
            <w:sz w:val="27"/>
            <w:szCs w:val="27"/>
            <w:u w:val="single"/>
            <w:lang w:eastAsia="ru-RU"/>
          </w:rPr>
          <w:t xml:space="preserve">Условия назначения </w:t>
        </w:r>
      </w:hyperlink>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Для назначения страховой пенсии по случаю потери кормильца должны быть соблюдены следующие условия:</w:t>
      </w:r>
    </w:p>
    <w:p w:rsidR="00625257" w:rsidRPr="00625257" w:rsidRDefault="00625257" w:rsidP="00625257">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наличие страхового стажа у умершего кормильца (хотя бы одного дня);</w:t>
      </w:r>
    </w:p>
    <w:p w:rsidR="00625257" w:rsidRPr="00625257" w:rsidRDefault="00625257" w:rsidP="00625257">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наступление смерти кормильца не связано с совершением нетрудоспособным членом семьи умышленного уголовно наказуемого деяния, повлекшего за собой смерть кормильца и установленного в судебном порядке.</w:t>
      </w:r>
    </w:p>
    <w:p w:rsidR="00625257" w:rsidRPr="00625257" w:rsidRDefault="00625257" w:rsidP="0062525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8" w:history="1">
        <w:r w:rsidRPr="00625257">
          <w:rPr>
            <w:rFonts w:ascii="Times New Roman" w:eastAsia="Times New Roman" w:hAnsi="Times New Roman" w:cs="Times New Roman"/>
            <w:b/>
            <w:bCs/>
            <w:color w:val="0000FF"/>
            <w:sz w:val="27"/>
            <w:szCs w:val="27"/>
            <w:u w:val="single"/>
            <w:lang w:eastAsia="ru-RU"/>
          </w:rPr>
          <w:t xml:space="preserve">Сроки назначения страховой пенсии по случаю потери кормильца </w:t>
        </w:r>
      </w:hyperlink>
    </w:p>
    <w:p w:rsidR="00625257" w:rsidRPr="00625257" w:rsidRDefault="00625257" w:rsidP="00625257">
      <w:pPr>
        <w:spacing w:after="0"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 xml:space="preserve">Заявление о назначении пенсии Пенсионный фонд России рассматривает в течение 10 рабочих дней со дня приема заявления со всеми необходимыми документами либо со дня представления последнего недостающего документа в течение трех месяцев со дня дачи соответствующих разъяснений специалистом территориального органа. </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Страховая пенсия по случаю потери кормильца назначается со дня смерти кормильца, если обращение за указанной пенсией последовало не позднее чем через 12 месяцев со дня его смерти, а при превышении этого срока - на 12 месяцев раньше того дня, когда последовало обращение за указанной пенсией.</w:t>
      </w:r>
    </w:p>
    <w:p w:rsidR="00625257" w:rsidRPr="00625257" w:rsidRDefault="00625257" w:rsidP="0062525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9" w:history="1">
        <w:r w:rsidRPr="00625257">
          <w:rPr>
            <w:rFonts w:ascii="Times New Roman" w:eastAsia="Times New Roman" w:hAnsi="Times New Roman" w:cs="Times New Roman"/>
            <w:b/>
            <w:bCs/>
            <w:color w:val="0000FF"/>
            <w:sz w:val="27"/>
            <w:szCs w:val="27"/>
            <w:u w:val="single"/>
            <w:lang w:eastAsia="ru-RU"/>
          </w:rPr>
          <w:t xml:space="preserve">Выплата </w:t>
        </w:r>
      </w:hyperlink>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Пенсия выплачивается ежемесячно. Пенсионер вправе выбрать по своему усмотрению организацию, которая будет заниматься доставкой пенсии, а также способ ее получения (на дому, в кассе доставочной организации или на свой счет в банке). Кроме того, за пенсионера получать пенсию может доверенное лицо. Выплата пенсии по доверенности, срок действия которой превышает один год, производится в течение всего срока действия доверенности при условии, что пенсионер ежегодно подтверждает факт регистрации по месту получения пенсии.</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b/>
          <w:bCs/>
          <w:sz w:val="24"/>
          <w:szCs w:val="24"/>
          <w:lang w:eastAsia="ru-RU"/>
        </w:rPr>
        <w:lastRenderedPageBreak/>
        <w:t>Способы доставки пенсии:</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u w:val="single"/>
          <w:lang w:eastAsia="ru-RU"/>
        </w:rPr>
        <w:t>1. через Почту России</w:t>
      </w:r>
      <w:r w:rsidRPr="00625257">
        <w:rPr>
          <w:rFonts w:ascii="Times New Roman" w:eastAsia="Times New Roman" w:hAnsi="Times New Roman" w:cs="Times New Roman"/>
          <w:sz w:val="24"/>
          <w:szCs w:val="24"/>
          <w:lang w:eastAsia="ru-RU"/>
        </w:rPr>
        <w:t xml:space="preserve"> – вы можете получать пенсию на дом или самостоятельно в почтовом отделении по месту жительства. В этом случае каждому пенсионеру устанавливается дата получения пенсии в соответствии с графиком доставки, при этом пенсия может быть выплачена позднее установленной даты в пределах доставочного периода. Дату окончания выплатного периода лучше узнать заранее, так как в каждом почтовом отделении она своя. Если пенсия не получена в течение шести месяцев, то ее выплата приостанавливается, и необходимо будет написать заявление в свой Пенсионный фонд, чтобы возобновить выплату;</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u w:val="single"/>
          <w:lang w:eastAsia="ru-RU"/>
        </w:rPr>
        <w:t>2. через банк</w:t>
      </w:r>
      <w:r w:rsidRPr="00625257">
        <w:rPr>
          <w:rFonts w:ascii="Times New Roman" w:eastAsia="Times New Roman" w:hAnsi="Times New Roman" w:cs="Times New Roman"/>
          <w:sz w:val="24"/>
          <w:szCs w:val="24"/>
          <w:lang w:eastAsia="ru-RU"/>
        </w:rPr>
        <w:t xml:space="preserve"> – вы можете получать пенсию в кассе отделения банка или оформить банковскую карту (с 01.07.2017 года для выплаты пенсии оформляются только карты национальной платежной системы «МИР») и снимать денежные средства через банкомат. Доставка пенсии за текущий месяц на счет производится в день поступления средств от территориального органа Пенсионного фонда России. Снять свои деньги с банковского счета можно в любой день после их зачисления. Зачисление на счет пенсионера в кредитной организации производится без взимания комиссионного вознаграждения.</w:t>
      </w:r>
    </w:p>
    <w:p w:rsidR="00625257" w:rsidRPr="00625257" w:rsidRDefault="00625257" w:rsidP="00625257">
      <w:pPr>
        <w:spacing w:after="0" w:line="240" w:lineRule="auto"/>
        <w:jc w:val="both"/>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ВАЖНО! пенсионеры, получающие в настоящее время пенсии на счета, открытые в кредитных организациях на территории Российской Федерации, предусматривающие осуществление операций с использованием платежных карт иных платежных систем, будут переведены на национальную платежную систему «МИР» по мере истечения срока действия текущих банковских карт;</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u w:val="single"/>
          <w:lang w:eastAsia="ru-RU"/>
        </w:rPr>
        <w:t>3. через организацию, занимающуюся доставкой пенсии</w:t>
      </w:r>
      <w:r w:rsidRPr="00625257">
        <w:rPr>
          <w:rFonts w:ascii="Times New Roman" w:eastAsia="Times New Roman" w:hAnsi="Times New Roman" w:cs="Times New Roman"/>
          <w:sz w:val="24"/>
          <w:szCs w:val="24"/>
          <w:lang w:eastAsia="ru-RU"/>
        </w:rPr>
        <w:t xml:space="preserve"> – вы можете получать пенсию на дому или самостоятельно в этой организации. Полный перечень таких организаций в вашем регионе (в том числе осуществляющих доставку пенсии на дом) есть в распоряжении территориального органа Пенсионного фонда России. Порядок выплаты пенсии через иную организацию, занимающуюся доставкой пенсий, такой же, как через отделение почтовой связи.</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i/>
          <w:iCs/>
          <w:sz w:val="24"/>
          <w:szCs w:val="24"/>
          <w:lang w:eastAsia="ru-RU"/>
        </w:rPr>
        <w:t>Для выбора способа доставки или его изменения, вам необходимо уведомить об этом ПФР, любым удобным для вас способом:</w:t>
      </w:r>
    </w:p>
    <w:p w:rsidR="00625257" w:rsidRPr="00625257" w:rsidRDefault="00625257" w:rsidP="00625257">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i/>
          <w:iCs/>
          <w:sz w:val="24"/>
          <w:szCs w:val="24"/>
          <w:lang w:eastAsia="ru-RU"/>
        </w:rPr>
        <w:t>письменно, подав заявление в территориальный орган ПФР, который назначил вам пенсию (</w:t>
      </w:r>
      <w:hyperlink r:id="rId20" w:history="1">
        <w:r w:rsidRPr="00625257">
          <w:rPr>
            <w:rFonts w:ascii="Times New Roman" w:eastAsia="Times New Roman" w:hAnsi="Times New Roman" w:cs="Times New Roman"/>
            <w:i/>
            <w:iCs/>
            <w:color w:val="0000FF"/>
            <w:sz w:val="24"/>
            <w:szCs w:val="24"/>
            <w:u w:val="single"/>
            <w:lang w:eastAsia="ru-RU"/>
          </w:rPr>
          <w:t>бланк заявления на выбор способа доставки пенсии</w:t>
        </w:r>
      </w:hyperlink>
      <w:r w:rsidRPr="00625257">
        <w:rPr>
          <w:rFonts w:ascii="Times New Roman" w:eastAsia="Times New Roman" w:hAnsi="Times New Roman" w:cs="Times New Roman"/>
          <w:i/>
          <w:iCs/>
          <w:sz w:val="24"/>
          <w:szCs w:val="24"/>
          <w:lang w:eastAsia="ru-RU"/>
        </w:rPr>
        <w:t>);</w:t>
      </w:r>
    </w:p>
    <w:p w:rsidR="00625257" w:rsidRPr="00625257" w:rsidRDefault="00625257" w:rsidP="00625257">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 xml:space="preserve">в электронном виде, подав соответствующее заявление через </w:t>
      </w:r>
      <w:hyperlink r:id="rId21" w:anchor="services-f" w:history="1">
        <w:r w:rsidRPr="00625257">
          <w:rPr>
            <w:rFonts w:ascii="Times New Roman" w:eastAsia="Times New Roman" w:hAnsi="Times New Roman" w:cs="Times New Roman"/>
            <w:color w:val="0000FF"/>
            <w:sz w:val="24"/>
            <w:szCs w:val="24"/>
            <w:u w:val="single"/>
            <w:lang w:eastAsia="ru-RU"/>
          </w:rPr>
          <w:t>«Личный кабинет гражданина»</w:t>
        </w:r>
      </w:hyperlink>
      <w:r w:rsidRPr="00625257">
        <w:rPr>
          <w:rFonts w:ascii="Times New Roman" w:eastAsia="Times New Roman" w:hAnsi="Times New Roman" w:cs="Times New Roman"/>
          <w:sz w:val="24"/>
          <w:szCs w:val="24"/>
          <w:lang w:eastAsia="ru-RU"/>
        </w:rPr>
        <w:t xml:space="preserve"> на сайте ПФР.</w:t>
      </w:r>
    </w:p>
    <w:p w:rsidR="00625257" w:rsidRPr="00625257" w:rsidRDefault="00625257" w:rsidP="0062525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22" w:history="1">
        <w:r w:rsidRPr="00625257">
          <w:rPr>
            <w:rFonts w:ascii="Times New Roman" w:eastAsia="Times New Roman" w:hAnsi="Times New Roman" w:cs="Times New Roman"/>
            <w:b/>
            <w:bCs/>
            <w:color w:val="0000FF"/>
            <w:sz w:val="27"/>
            <w:szCs w:val="27"/>
            <w:u w:val="single"/>
            <w:lang w:eastAsia="ru-RU"/>
          </w:rPr>
          <w:t>Доставка пенсий несовершеннолетним пенсионерам</w:t>
        </w:r>
      </w:hyperlink>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Доставка пенсии производится по желанию пенсионера:</w:t>
      </w:r>
    </w:p>
    <w:p w:rsidR="00625257" w:rsidRPr="00625257" w:rsidRDefault="00625257" w:rsidP="00625257">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  через кредитную организацию путем зачисления сумм пенсии на счет;</w:t>
      </w:r>
    </w:p>
    <w:p w:rsidR="00625257" w:rsidRPr="00625257" w:rsidRDefault="00625257" w:rsidP="00625257">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  через организации почтовой связи (иные организации, занимающиеся доставкой пенсий) путем вручения сумм пенсии на дому или в кассе организации, производящей доставку.</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 xml:space="preserve">Особенностью доставки пенсии несовершеннолетним пенсионерам является то, что право на пенсию имеет сам несовершеннолетний гражданин, при этом доставку данной </w:t>
      </w:r>
      <w:proofErr w:type="gramStart"/>
      <w:r w:rsidRPr="00625257">
        <w:rPr>
          <w:rFonts w:ascii="Times New Roman" w:eastAsia="Times New Roman" w:hAnsi="Times New Roman" w:cs="Times New Roman"/>
          <w:sz w:val="24"/>
          <w:szCs w:val="24"/>
          <w:lang w:eastAsia="ru-RU"/>
        </w:rPr>
        <w:t>пенсии</w:t>
      </w:r>
      <w:proofErr w:type="gramEnd"/>
      <w:r w:rsidRPr="00625257">
        <w:rPr>
          <w:rFonts w:ascii="Times New Roman" w:eastAsia="Times New Roman" w:hAnsi="Times New Roman" w:cs="Times New Roman"/>
          <w:sz w:val="24"/>
          <w:szCs w:val="24"/>
          <w:lang w:eastAsia="ru-RU"/>
        </w:rPr>
        <w:t xml:space="preserve"> </w:t>
      </w:r>
      <w:r w:rsidRPr="00625257">
        <w:rPr>
          <w:rFonts w:ascii="Times New Roman" w:eastAsia="Times New Roman" w:hAnsi="Times New Roman" w:cs="Times New Roman"/>
          <w:sz w:val="24"/>
          <w:szCs w:val="24"/>
          <w:lang w:eastAsia="ru-RU"/>
        </w:rPr>
        <w:lastRenderedPageBreak/>
        <w:t>возможно производить как на его имя, так и на имя его законного представителя (родителя, усыновителя, опекуна, попечителя).</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 xml:space="preserve">Таким образом, если получателем пенсии </w:t>
      </w:r>
      <w:proofErr w:type="gramStart"/>
      <w:r w:rsidRPr="00625257">
        <w:rPr>
          <w:rFonts w:ascii="Times New Roman" w:eastAsia="Times New Roman" w:hAnsi="Times New Roman" w:cs="Times New Roman"/>
          <w:sz w:val="24"/>
          <w:szCs w:val="24"/>
          <w:lang w:eastAsia="ru-RU"/>
        </w:rPr>
        <w:t>является ребенок в возрасте до 18 лет доставка пенсии может</w:t>
      </w:r>
      <w:proofErr w:type="gramEnd"/>
      <w:r w:rsidRPr="00625257">
        <w:rPr>
          <w:rFonts w:ascii="Times New Roman" w:eastAsia="Times New Roman" w:hAnsi="Times New Roman" w:cs="Times New Roman"/>
          <w:sz w:val="24"/>
          <w:szCs w:val="24"/>
          <w:lang w:eastAsia="ru-RU"/>
        </w:rPr>
        <w:t xml:space="preserve"> производиться его родителю (усыновителю) либо опекуну (попечителю), – на счет указанного лица в кредитной организации или через организацию почтовой связи (доставочный документ будет оформлен на имя правомочного лица).</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При этом суммы пенсий, причитающиеся несовершеннолетнему  гражданину, подлежат зачислению на отдельный номинальный счет, открываемый его опекуном или попечителем, и могут расходоваться без предварительного разрешения органа опеки и попечительства.</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На родителей также распространяется указанный порядок доставки пенсий в силу соответствующих положений Семейного кодекса Российской Федерации.</w:t>
      </w:r>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Ребенок, достигший возраста 14 лет, вправе самостоятельно получать установленную ему пенсию через организацию почтовой связи (иную организацию, занимающуюся доставкой пенсий) или на свой счет в кредитной организации.</w:t>
      </w:r>
    </w:p>
    <w:p w:rsidR="00625257" w:rsidRPr="00625257" w:rsidRDefault="00625257" w:rsidP="0062525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23" w:history="1">
        <w:r w:rsidRPr="00625257">
          <w:rPr>
            <w:rFonts w:ascii="Times New Roman" w:eastAsia="Times New Roman" w:hAnsi="Times New Roman" w:cs="Times New Roman"/>
            <w:b/>
            <w:bCs/>
            <w:color w:val="0000FF"/>
            <w:sz w:val="27"/>
            <w:szCs w:val="27"/>
            <w:u w:val="single"/>
            <w:lang w:eastAsia="ru-RU"/>
          </w:rPr>
          <w:t xml:space="preserve">Размер фиксированной выплаты к страховой пенсии по случаю потери кормильца </w:t>
        </w:r>
      </w:hyperlink>
    </w:p>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По состоянию на 01.02.2017 размер фиксированной выплаты к страховой пенсии по случаю потери кормильца составляет 2402 рубля 56 копеек (50% от 4805 рублей 11 копеек) на каждого нетрудоспособного члена семьи.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45"/>
        <w:gridCol w:w="5800"/>
      </w:tblGrid>
      <w:tr w:rsidR="00625257" w:rsidRPr="00625257" w:rsidTr="00625257">
        <w:trPr>
          <w:tblCellSpacing w:w="15" w:type="dxa"/>
        </w:trPr>
        <w:tc>
          <w:tcPr>
            <w:tcW w:w="0" w:type="auto"/>
            <w:vAlign w:val="center"/>
            <w:hideMark/>
          </w:tcPr>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Категория получателей пенсии</w:t>
            </w:r>
          </w:p>
        </w:tc>
        <w:tc>
          <w:tcPr>
            <w:tcW w:w="0" w:type="auto"/>
            <w:vAlign w:val="center"/>
            <w:hideMark/>
          </w:tcPr>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Размер фиксированной выплаты к страховой пенсии по случаю потери кормильца с учетом повышений к ней</w:t>
            </w:r>
          </w:p>
        </w:tc>
      </w:tr>
      <w:tr w:rsidR="00625257" w:rsidRPr="00625257" w:rsidTr="00625257">
        <w:trPr>
          <w:tblCellSpacing w:w="15" w:type="dxa"/>
        </w:trPr>
        <w:tc>
          <w:tcPr>
            <w:tcW w:w="0" w:type="auto"/>
            <w:vAlign w:val="center"/>
            <w:hideMark/>
          </w:tcPr>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Круглые сироты</w:t>
            </w:r>
          </w:p>
        </w:tc>
        <w:tc>
          <w:tcPr>
            <w:tcW w:w="0" w:type="auto"/>
            <w:vAlign w:val="center"/>
            <w:hideMark/>
          </w:tcPr>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4805 рублей 12 копеек в месяц (на каждого ребенка)</w:t>
            </w:r>
          </w:p>
        </w:tc>
      </w:tr>
      <w:tr w:rsidR="00625257" w:rsidRPr="00625257" w:rsidTr="00625257">
        <w:trPr>
          <w:tblCellSpacing w:w="15" w:type="dxa"/>
        </w:trPr>
        <w:tc>
          <w:tcPr>
            <w:tcW w:w="0" w:type="auto"/>
            <w:vAlign w:val="center"/>
            <w:hideMark/>
          </w:tcPr>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Граждане, проживающие в районах Крайнего Севера и приравненных к ним местностях</w:t>
            </w:r>
          </w:p>
        </w:tc>
        <w:tc>
          <w:tcPr>
            <w:tcW w:w="0" w:type="auto"/>
            <w:vAlign w:val="center"/>
            <w:hideMark/>
          </w:tcPr>
          <w:p w:rsidR="00625257" w:rsidRPr="00625257" w:rsidRDefault="00625257" w:rsidP="00625257">
            <w:pPr>
              <w:spacing w:before="100" w:beforeAutospacing="1" w:after="100" w:afterAutospacing="1"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t>Фиксированная выплата к страховой пенсии по случаю потери кормильца и повышения к ней увеличиваются на соответствующий районный коэффициент</w:t>
            </w:r>
          </w:p>
        </w:tc>
      </w:tr>
    </w:tbl>
    <w:p w:rsidR="00625257" w:rsidRPr="00625257" w:rsidRDefault="00625257" w:rsidP="00625257">
      <w:pPr>
        <w:spacing w:after="0" w:line="240" w:lineRule="auto"/>
        <w:rPr>
          <w:rFonts w:ascii="Times New Roman" w:eastAsia="Times New Roman" w:hAnsi="Times New Roman" w:cs="Times New Roman"/>
          <w:sz w:val="24"/>
          <w:szCs w:val="24"/>
          <w:lang w:eastAsia="ru-RU"/>
        </w:rPr>
      </w:pPr>
      <w:r w:rsidRPr="00625257">
        <w:rPr>
          <w:rFonts w:ascii="Times New Roman" w:eastAsia="Times New Roman" w:hAnsi="Times New Roman" w:cs="Times New Roman"/>
          <w:sz w:val="24"/>
          <w:szCs w:val="24"/>
          <w:lang w:eastAsia="ru-RU"/>
        </w:rPr>
        <w:pict>
          <v:rect id="_x0000_i1026" style="width:0;height:1.5pt" o:hralign="center" o:hrstd="t" o:hr="t" fillcolor="#a0a0a0" stroked="f"/>
        </w:pict>
      </w:r>
    </w:p>
    <w:p w:rsidR="00077FAA" w:rsidRDefault="00077FAA">
      <w:bookmarkStart w:id="0" w:name="_GoBack"/>
      <w:bookmarkEnd w:id="0"/>
    </w:p>
    <w:sectPr w:rsidR="00077F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96F95"/>
    <w:multiLevelType w:val="multilevel"/>
    <w:tmpl w:val="0A00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1482007"/>
    <w:multiLevelType w:val="multilevel"/>
    <w:tmpl w:val="EA405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1A1A56"/>
    <w:multiLevelType w:val="multilevel"/>
    <w:tmpl w:val="1C80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07599F"/>
    <w:multiLevelType w:val="multilevel"/>
    <w:tmpl w:val="EC6EC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DA0644E"/>
    <w:multiLevelType w:val="multilevel"/>
    <w:tmpl w:val="AA6A4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F431AA6"/>
    <w:multiLevelType w:val="multilevel"/>
    <w:tmpl w:val="0A94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0AA4"/>
    <w:rsid w:val="00077FAA"/>
    <w:rsid w:val="00540AA4"/>
    <w:rsid w:val="00625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252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62525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5257"/>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625257"/>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625257"/>
    <w:rPr>
      <w:color w:val="0000FF"/>
      <w:u w:val="single"/>
    </w:rPr>
  </w:style>
  <w:style w:type="paragraph" w:styleId="a4">
    <w:name w:val="Normal (Web)"/>
    <w:basedOn w:val="a"/>
    <w:uiPriority w:val="99"/>
    <w:unhideWhenUsed/>
    <w:rsid w:val="006252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25257"/>
    <w:rPr>
      <w:b/>
      <w:bCs/>
    </w:rPr>
  </w:style>
  <w:style w:type="character" w:customStyle="1" w:styleId="text-highlight">
    <w:name w:val="text-highlight"/>
    <w:basedOn w:val="a0"/>
    <w:rsid w:val="00625257"/>
  </w:style>
  <w:style w:type="character" w:styleId="a6">
    <w:name w:val="Emphasis"/>
    <w:basedOn w:val="a0"/>
    <w:uiPriority w:val="20"/>
    <w:qFormat/>
    <w:rsid w:val="00625257"/>
    <w:rPr>
      <w:i/>
      <w:iCs/>
    </w:rPr>
  </w:style>
  <w:style w:type="paragraph" w:styleId="a7">
    <w:name w:val="Balloon Text"/>
    <w:basedOn w:val="a"/>
    <w:link w:val="a8"/>
    <w:uiPriority w:val="99"/>
    <w:semiHidden/>
    <w:unhideWhenUsed/>
    <w:rsid w:val="0062525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252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252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62525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5257"/>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625257"/>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625257"/>
    <w:rPr>
      <w:color w:val="0000FF"/>
      <w:u w:val="single"/>
    </w:rPr>
  </w:style>
  <w:style w:type="paragraph" w:styleId="a4">
    <w:name w:val="Normal (Web)"/>
    <w:basedOn w:val="a"/>
    <w:uiPriority w:val="99"/>
    <w:unhideWhenUsed/>
    <w:rsid w:val="006252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25257"/>
    <w:rPr>
      <w:b/>
      <w:bCs/>
    </w:rPr>
  </w:style>
  <w:style w:type="character" w:customStyle="1" w:styleId="text-highlight">
    <w:name w:val="text-highlight"/>
    <w:basedOn w:val="a0"/>
    <w:rsid w:val="00625257"/>
  </w:style>
  <w:style w:type="character" w:styleId="a6">
    <w:name w:val="Emphasis"/>
    <w:basedOn w:val="a0"/>
    <w:uiPriority w:val="20"/>
    <w:qFormat/>
    <w:rsid w:val="00625257"/>
    <w:rPr>
      <w:i/>
      <w:iCs/>
    </w:rPr>
  </w:style>
  <w:style w:type="paragraph" w:styleId="a7">
    <w:name w:val="Balloon Text"/>
    <w:basedOn w:val="a"/>
    <w:link w:val="a8"/>
    <w:uiPriority w:val="99"/>
    <w:semiHidden/>
    <w:unhideWhenUsed/>
    <w:rsid w:val="0062525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252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906587">
      <w:bodyDiv w:val="1"/>
      <w:marLeft w:val="0"/>
      <w:marRight w:val="0"/>
      <w:marTop w:val="0"/>
      <w:marBottom w:val="0"/>
      <w:divBdr>
        <w:top w:val="none" w:sz="0" w:space="0" w:color="auto"/>
        <w:left w:val="none" w:sz="0" w:space="0" w:color="auto"/>
        <w:bottom w:val="none" w:sz="0" w:space="0" w:color="auto"/>
        <w:right w:val="none" w:sz="0" w:space="0" w:color="auto"/>
      </w:divBdr>
      <w:divsChild>
        <w:div w:id="611321014">
          <w:marLeft w:val="0"/>
          <w:marRight w:val="0"/>
          <w:marTop w:val="0"/>
          <w:marBottom w:val="0"/>
          <w:divBdr>
            <w:top w:val="none" w:sz="0" w:space="0" w:color="auto"/>
            <w:left w:val="none" w:sz="0" w:space="0" w:color="auto"/>
            <w:bottom w:val="none" w:sz="0" w:space="0" w:color="auto"/>
            <w:right w:val="none" w:sz="0" w:space="0" w:color="auto"/>
          </w:divBdr>
          <w:divsChild>
            <w:div w:id="796027722">
              <w:marLeft w:val="0"/>
              <w:marRight w:val="0"/>
              <w:marTop w:val="0"/>
              <w:marBottom w:val="0"/>
              <w:divBdr>
                <w:top w:val="none" w:sz="0" w:space="0" w:color="auto"/>
                <w:left w:val="none" w:sz="0" w:space="0" w:color="auto"/>
                <w:bottom w:val="none" w:sz="0" w:space="0" w:color="auto"/>
                <w:right w:val="none" w:sz="0" w:space="0" w:color="auto"/>
              </w:divBdr>
            </w:div>
          </w:divsChild>
        </w:div>
        <w:div w:id="1403062656">
          <w:marLeft w:val="0"/>
          <w:marRight w:val="0"/>
          <w:marTop w:val="0"/>
          <w:marBottom w:val="0"/>
          <w:divBdr>
            <w:top w:val="none" w:sz="0" w:space="0" w:color="auto"/>
            <w:left w:val="none" w:sz="0" w:space="0" w:color="auto"/>
            <w:bottom w:val="none" w:sz="0" w:space="0" w:color="auto"/>
            <w:right w:val="none" w:sz="0" w:space="0" w:color="auto"/>
          </w:divBdr>
          <w:divsChild>
            <w:div w:id="877623667">
              <w:marLeft w:val="0"/>
              <w:marRight w:val="0"/>
              <w:marTop w:val="0"/>
              <w:marBottom w:val="0"/>
              <w:divBdr>
                <w:top w:val="none" w:sz="0" w:space="0" w:color="auto"/>
                <w:left w:val="none" w:sz="0" w:space="0" w:color="auto"/>
                <w:bottom w:val="none" w:sz="0" w:space="0" w:color="auto"/>
                <w:right w:val="none" w:sz="0" w:space="0" w:color="auto"/>
              </w:divBdr>
              <w:divsChild>
                <w:div w:id="26566527">
                  <w:marLeft w:val="0"/>
                  <w:marRight w:val="0"/>
                  <w:marTop w:val="0"/>
                  <w:marBottom w:val="0"/>
                  <w:divBdr>
                    <w:top w:val="none" w:sz="0" w:space="0" w:color="auto"/>
                    <w:left w:val="none" w:sz="0" w:space="0" w:color="auto"/>
                    <w:bottom w:val="none" w:sz="0" w:space="0" w:color="auto"/>
                    <w:right w:val="none" w:sz="0" w:space="0" w:color="auto"/>
                  </w:divBdr>
                  <w:divsChild>
                    <w:div w:id="1033001616">
                      <w:marLeft w:val="75"/>
                      <w:marRight w:val="75"/>
                      <w:marTop w:val="75"/>
                      <w:marBottom w:val="75"/>
                      <w:divBdr>
                        <w:top w:val="none" w:sz="0" w:space="0" w:color="auto"/>
                        <w:left w:val="none" w:sz="0" w:space="0" w:color="auto"/>
                        <w:bottom w:val="none" w:sz="0" w:space="0" w:color="auto"/>
                        <w:right w:val="none" w:sz="0" w:space="0" w:color="auto"/>
                      </w:divBdr>
                    </w:div>
                    <w:div w:id="530337551">
                      <w:marLeft w:val="0"/>
                      <w:marRight w:val="0"/>
                      <w:marTop w:val="0"/>
                      <w:marBottom w:val="0"/>
                      <w:divBdr>
                        <w:top w:val="none" w:sz="0" w:space="0" w:color="auto"/>
                        <w:left w:val="none" w:sz="0" w:space="0" w:color="auto"/>
                        <w:bottom w:val="none" w:sz="0" w:space="0" w:color="auto"/>
                        <w:right w:val="none" w:sz="0" w:space="0" w:color="auto"/>
                      </w:divBdr>
                    </w:div>
                    <w:div w:id="74792743">
                      <w:marLeft w:val="0"/>
                      <w:marRight w:val="0"/>
                      <w:marTop w:val="0"/>
                      <w:marBottom w:val="0"/>
                      <w:divBdr>
                        <w:top w:val="none" w:sz="0" w:space="0" w:color="auto"/>
                        <w:left w:val="none" w:sz="0" w:space="0" w:color="auto"/>
                        <w:bottom w:val="none" w:sz="0" w:space="0" w:color="auto"/>
                        <w:right w:val="none" w:sz="0" w:space="0" w:color="auto"/>
                      </w:divBdr>
                    </w:div>
                    <w:div w:id="86080593">
                      <w:marLeft w:val="0"/>
                      <w:marRight w:val="0"/>
                      <w:marTop w:val="0"/>
                      <w:marBottom w:val="0"/>
                      <w:divBdr>
                        <w:top w:val="none" w:sz="0" w:space="0" w:color="auto"/>
                        <w:left w:val="none" w:sz="0" w:space="0" w:color="auto"/>
                        <w:bottom w:val="none" w:sz="0" w:space="0" w:color="auto"/>
                        <w:right w:val="none" w:sz="0" w:space="0" w:color="auto"/>
                      </w:divBdr>
                    </w:div>
                    <w:div w:id="381172872">
                      <w:marLeft w:val="0"/>
                      <w:marRight w:val="0"/>
                      <w:marTop w:val="0"/>
                      <w:marBottom w:val="0"/>
                      <w:divBdr>
                        <w:top w:val="none" w:sz="0" w:space="0" w:color="auto"/>
                        <w:left w:val="none" w:sz="0" w:space="0" w:color="auto"/>
                        <w:bottom w:val="none" w:sz="0" w:space="0" w:color="auto"/>
                        <w:right w:val="none" w:sz="0" w:space="0" w:color="auto"/>
                      </w:divBdr>
                    </w:div>
                    <w:div w:id="948972385">
                      <w:marLeft w:val="0"/>
                      <w:marRight w:val="0"/>
                      <w:marTop w:val="0"/>
                      <w:marBottom w:val="0"/>
                      <w:divBdr>
                        <w:top w:val="none" w:sz="0" w:space="0" w:color="auto"/>
                        <w:left w:val="none" w:sz="0" w:space="0" w:color="auto"/>
                        <w:bottom w:val="none" w:sz="0" w:space="0" w:color="auto"/>
                        <w:right w:val="none" w:sz="0" w:space="0" w:color="auto"/>
                      </w:divBdr>
                    </w:div>
                    <w:div w:id="1723407253">
                      <w:marLeft w:val="0"/>
                      <w:marRight w:val="0"/>
                      <w:marTop w:val="0"/>
                      <w:marBottom w:val="0"/>
                      <w:divBdr>
                        <w:top w:val="none" w:sz="0" w:space="0" w:color="auto"/>
                        <w:left w:val="none" w:sz="0" w:space="0" w:color="auto"/>
                        <w:bottom w:val="none" w:sz="0" w:space="0" w:color="auto"/>
                        <w:right w:val="none" w:sz="0" w:space="0" w:color="auto"/>
                      </w:divBdr>
                    </w:div>
                    <w:div w:id="1477337628">
                      <w:marLeft w:val="0"/>
                      <w:marRight w:val="0"/>
                      <w:marTop w:val="0"/>
                      <w:marBottom w:val="0"/>
                      <w:divBdr>
                        <w:top w:val="none" w:sz="0" w:space="0" w:color="auto"/>
                        <w:left w:val="none" w:sz="0" w:space="0" w:color="auto"/>
                        <w:bottom w:val="none" w:sz="0" w:space="0" w:color="auto"/>
                        <w:right w:val="none" w:sz="0" w:space="0" w:color="auto"/>
                      </w:divBdr>
                    </w:div>
                    <w:div w:id="16295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files/id/press_center/pr/booklet/2017/new/kormilec.pdf" TargetMode="External"/><Relationship Id="rId13" Type="http://schemas.openxmlformats.org/officeDocument/2006/relationships/hyperlink" Target="http://www.pfrf.ru/info/order/adminreg/%7E2931" TargetMode="External"/><Relationship Id="rId18" Type="http://schemas.openxmlformats.org/officeDocument/2006/relationships/hyperlink" Target="http://www.pfrf.ru/knopki/zhizn/%7E439" TargetMode="External"/><Relationship Id="rId3" Type="http://schemas.microsoft.com/office/2007/relationships/stylesWithEffects" Target="stylesWithEffects.xml"/><Relationship Id="rId21" Type="http://schemas.openxmlformats.org/officeDocument/2006/relationships/hyperlink" Target="https://es.pfrf.ru/" TargetMode="External"/><Relationship Id="rId7" Type="http://schemas.openxmlformats.org/officeDocument/2006/relationships/image" Target="media/image1.jpeg"/><Relationship Id="rId12" Type="http://schemas.openxmlformats.org/officeDocument/2006/relationships/hyperlink" Target="http://www.pfrf.ru/knopki/zhizn/%7E439" TargetMode="External"/><Relationship Id="rId17" Type="http://schemas.openxmlformats.org/officeDocument/2006/relationships/hyperlink" Target="http://www.pfrf.ru/knopki/zhizn/%7E43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frf.ru/files/id/zhiznsit/pens/Pravila_zapolneniya_zayavleniya_o_naznachenii_SP.doc" TargetMode="External"/><Relationship Id="rId20" Type="http://schemas.openxmlformats.org/officeDocument/2006/relationships/hyperlink" Target="http://www.pfrf.ru/files/id/zhiznsit/pens/2016/Zayavlenie_o_dostavke_pensii-2.doc" TargetMode="External"/><Relationship Id="rId1" Type="http://schemas.openxmlformats.org/officeDocument/2006/relationships/numbering" Target="numbering.xml"/><Relationship Id="rId6" Type="http://schemas.openxmlformats.org/officeDocument/2006/relationships/hyperlink" Target="http://www.pfrf.ru/files/id/press_center/pr/booklet/2017/new/kormilec.pdf" TargetMode="External"/><Relationship Id="rId11" Type="http://schemas.openxmlformats.org/officeDocument/2006/relationships/hyperlink" Target="https://es.pfrf.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frf.ru/files/id/zhiznsit/pens/Zayavlenie_o_naznachenii_SP.doc" TargetMode="External"/><Relationship Id="rId23" Type="http://schemas.openxmlformats.org/officeDocument/2006/relationships/hyperlink" Target="http://www.pfrf.ru/knopki/zhizn/%7E439" TargetMode="External"/><Relationship Id="rId10" Type="http://schemas.openxmlformats.org/officeDocument/2006/relationships/hyperlink" Target="http://www.pfrf.ru/knopki/zhizn/%7E439" TargetMode="External"/><Relationship Id="rId19" Type="http://schemas.openxmlformats.org/officeDocument/2006/relationships/hyperlink" Target="http://www.pfrf.ru/knopki/zhizn/%7E439" TargetMode="External"/><Relationship Id="rId4" Type="http://schemas.openxmlformats.org/officeDocument/2006/relationships/settings" Target="settings.xml"/><Relationship Id="rId9" Type="http://schemas.openxmlformats.org/officeDocument/2006/relationships/hyperlink" Target="http://www.pfrf.ru/knopki/zhizn/%7E439" TargetMode="External"/><Relationship Id="rId14" Type="http://schemas.openxmlformats.org/officeDocument/2006/relationships/hyperlink" Target="http://www.pfrf.ru/files/id/zhiznsit/pens/kormilec/Dokumentyi_dlya_naznacheniya_SP_po_SPK-1.doc" TargetMode="External"/><Relationship Id="rId22" Type="http://schemas.openxmlformats.org/officeDocument/2006/relationships/hyperlink" Target="http://www.pfrf.ru/knopki/zhizn/%7E43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1990</Words>
  <Characters>11344</Characters>
  <Application>Microsoft Office Word</Application>
  <DocSecurity>0</DocSecurity>
  <Lines>94</Lines>
  <Paragraphs>26</Paragraphs>
  <ScaleCrop>false</ScaleCrop>
  <Company/>
  <LinksUpToDate>false</LinksUpToDate>
  <CharactersWithSpaces>13308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2017-11-28T06:52:00Z</dcterms:created>
  <dcterms:modified xsi:type="dcterms:W3CDTF">2017-11-28T06:56:00Z</dcterms:modified>
</cp:coreProperties>
</file>